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85" w:rsidRPr="0012646A" w:rsidRDefault="00B85CD6" w:rsidP="00462185">
      <w:pPr>
        <w:pStyle w:val="Header"/>
        <w:tabs>
          <w:tab w:val="clear" w:pos="4153"/>
          <w:tab w:val="clear" w:pos="8306"/>
        </w:tabs>
        <w:rPr>
          <w:rFonts w:cs="Arial"/>
          <w:b/>
          <w:sz w:val="32"/>
          <w:szCs w:val="32"/>
        </w:rPr>
      </w:pPr>
      <w:bookmarkStart w:id="0" w:name="Introduction"/>
      <w:r w:rsidRPr="0012646A">
        <w:rPr>
          <w:rFonts w:cs="Arial"/>
          <w:b/>
          <w:sz w:val="32"/>
          <w:szCs w:val="32"/>
        </w:rPr>
        <w:t>Lancashire County Council Internal Audit Service</w:t>
      </w:r>
    </w:p>
    <w:p w:rsidR="00462185" w:rsidRPr="0012646A" w:rsidRDefault="00B85CD6" w:rsidP="00462185">
      <w:pPr>
        <w:pStyle w:val="Header"/>
        <w:tabs>
          <w:tab w:val="clear" w:pos="4153"/>
          <w:tab w:val="clear" w:pos="8306"/>
        </w:tabs>
        <w:rPr>
          <w:rFonts w:cs="Arial"/>
          <w:b/>
          <w:sz w:val="32"/>
          <w:szCs w:val="32"/>
        </w:rPr>
      </w:pPr>
      <w:r w:rsidRPr="0012646A">
        <w:rPr>
          <w:rFonts w:cs="Arial"/>
          <w:b/>
          <w:sz w:val="32"/>
          <w:szCs w:val="32"/>
        </w:rPr>
        <w:t xml:space="preserve">Annual report </w:t>
      </w:r>
      <w:r>
        <w:rPr>
          <w:rFonts w:cs="Arial"/>
          <w:b/>
          <w:sz w:val="32"/>
          <w:szCs w:val="32"/>
        </w:rPr>
        <w:t>of the head of internal audit for the year ended 31 March 2020</w:t>
      </w:r>
    </w:p>
    <w:p w:rsidR="00462185" w:rsidRPr="0012646A" w:rsidRDefault="00B85CD6" w:rsidP="00462185">
      <w:pPr>
        <w:pStyle w:val="Heading1"/>
        <w:numPr>
          <w:ilvl w:val="0"/>
          <w:numId w:val="1"/>
        </w:numPr>
        <w:spacing w:after="120"/>
        <w:rPr>
          <w:rFonts w:ascii="Arial" w:hAnsi="Arial" w:cs="Arial"/>
          <w:bCs w:val="0"/>
        </w:rPr>
      </w:pPr>
      <w:r w:rsidRPr="0012646A">
        <w:rPr>
          <w:rFonts w:ascii="Arial" w:hAnsi="Arial" w:cs="Arial"/>
        </w:rPr>
        <w:t>Introduction</w:t>
      </w:r>
    </w:p>
    <w:bookmarkEnd w:id="0"/>
    <w:p w:rsidR="00462185" w:rsidRPr="0012646A" w:rsidRDefault="00B85CD6" w:rsidP="00462185">
      <w:pPr>
        <w:pStyle w:val="Heading3"/>
        <w:tabs>
          <w:tab w:val="left" w:pos="284"/>
        </w:tabs>
        <w:spacing w:after="120"/>
        <w:rPr>
          <w:rFonts w:ascii="Arial" w:hAnsi="Arial" w:cs="Arial"/>
          <w:bCs w:val="0"/>
        </w:rPr>
      </w:pPr>
      <w:r w:rsidRPr="0012646A">
        <w:rPr>
          <w:rFonts w:ascii="Arial" w:hAnsi="Arial" w:cs="Arial"/>
        </w:rPr>
        <w:t>Purpose of this report</w:t>
      </w:r>
    </w:p>
    <w:p w:rsidR="00462185" w:rsidRPr="0012646A" w:rsidRDefault="00B85CD6" w:rsidP="00462185">
      <w:pPr>
        <w:numPr>
          <w:ilvl w:val="1"/>
          <w:numId w:val="1"/>
        </w:numPr>
        <w:spacing w:before="120" w:after="120"/>
        <w:rPr>
          <w:rFonts w:cs="Arial"/>
        </w:rPr>
      </w:pPr>
      <w:r w:rsidRPr="0012646A">
        <w:rPr>
          <w:rFonts w:cs="Arial"/>
        </w:rPr>
        <w:t>This report summarises the work that the county council's Internal Audit Se</w:t>
      </w:r>
      <w:r>
        <w:rPr>
          <w:rFonts w:cs="Arial"/>
        </w:rPr>
        <w:t>rvice has undertaken during 2019/20</w:t>
      </w:r>
      <w:r w:rsidRPr="0012646A">
        <w:rPr>
          <w:rFonts w:cs="Arial"/>
        </w:rPr>
        <w:t xml:space="preserve"> in relation to governance</w:t>
      </w:r>
      <w:r>
        <w:rPr>
          <w:rFonts w:cs="Arial"/>
        </w:rPr>
        <w:t>,</w:t>
      </w:r>
      <w:r w:rsidRPr="0012646A">
        <w:rPr>
          <w:rFonts w:cs="Arial"/>
        </w:rPr>
        <w:t xml:space="preserve"> risk management</w:t>
      </w:r>
      <w:r w:rsidRPr="00D11EDD">
        <w:rPr>
          <w:rFonts w:cs="Arial"/>
        </w:rPr>
        <w:t xml:space="preserve"> </w:t>
      </w:r>
      <w:r w:rsidRPr="0012646A">
        <w:rPr>
          <w:rFonts w:cs="Arial"/>
        </w:rPr>
        <w:t xml:space="preserve">and </w:t>
      </w:r>
      <w:r>
        <w:rPr>
          <w:rFonts w:cs="Arial"/>
        </w:rPr>
        <w:t>internal control</w:t>
      </w:r>
      <w:r w:rsidRPr="0012646A">
        <w:rPr>
          <w:rFonts w:cs="Arial"/>
        </w:rPr>
        <w:t xml:space="preserve"> across the council.</w:t>
      </w:r>
    </w:p>
    <w:p w:rsidR="00750701" w:rsidRPr="00750701" w:rsidRDefault="00B85CD6" w:rsidP="00E445AA">
      <w:pPr>
        <w:pStyle w:val="ListParagraph"/>
        <w:numPr>
          <w:ilvl w:val="1"/>
          <w:numId w:val="1"/>
        </w:numPr>
        <w:spacing w:before="120" w:after="120"/>
        <w:contextualSpacing w:val="0"/>
        <w:rPr>
          <w:rFonts w:cs="Arial"/>
        </w:rPr>
      </w:pPr>
      <w:r w:rsidRPr="00750701">
        <w:rPr>
          <w:rFonts w:cs="Arial"/>
        </w:rPr>
        <w:t>In May 2019 the Audit, Risk and Governance Committee considered and approved an internal audit plan for 2019/20, and small amendments to the plan have been reported to the committee during the course of the year. The work for the year support</w:t>
      </w:r>
      <w:r>
        <w:rPr>
          <w:rFonts w:cs="Arial"/>
        </w:rPr>
        <w:t>s</w:t>
      </w:r>
      <w:r w:rsidRPr="00750701">
        <w:rPr>
          <w:rFonts w:cs="Arial"/>
        </w:rPr>
        <w:t xml:space="preserve"> an overall opinion on the frameworks of governance, risk management and internal control.</w:t>
      </w:r>
    </w:p>
    <w:p w:rsidR="00462185" w:rsidRPr="0012646A" w:rsidRDefault="00B85CD6" w:rsidP="00462185">
      <w:pPr>
        <w:pStyle w:val="ListParagraph"/>
        <w:numPr>
          <w:ilvl w:val="1"/>
          <w:numId w:val="1"/>
        </w:numPr>
        <w:spacing w:before="120" w:after="120"/>
        <w:contextualSpacing w:val="0"/>
        <w:rPr>
          <w:rFonts w:cs="Arial"/>
        </w:rPr>
      </w:pPr>
      <w:r>
        <w:rPr>
          <w:rFonts w:cs="Arial"/>
        </w:rPr>
        <w:t xml:space="preserve">All the work planned for the year has been completed as far as possible and assurance over the services, systems and processes that operated during 2019/20 has been given wherever possible. </w:t>
      </w:r>
      <w:r w:rsidR="00F909F8">
        <w:rPr>
          <w:rFonts w:cs="Arial"/>
        </w:rPr>
        <w:t>As</w:t>
      </w:r>
      <w:r>
        <w:rPr>
          <w:rFonts w:cs="Arial"/>
        </w:rPr>
        <w:t xml:space="preserve"> the council's senior managers have been engaged in addressing the issues raised by the coronavirus pandemic during March, not all of the assurance given here has been discussed with them</w:t>
      </w:r>
      <w:r w:rsidR="00F909F8">
        <w:rPr>
          <w:rFonts w:cs="Arial"/>
        </w:rPr>
        <w:t>. A</w:t>
      </w:r>
      <w:r>
        <w:rPr>
          <w:rFonts w:cs="Arial"/>
        </w:rPr>
        <w:t>lthough all the work reported here has been discussed with their teams</w:t>
      </w:r>
      <w:r w:rsidRPr="0012646A">
        <w:rPr>
          <w:rFonts w:cs="Arial"/>
        </w:rPr>
        <w:t>.</w:t>
      </w:r>
      <w:r>
        <w:rPr>
          <w:rFonts w:cs="Arial"/>
        </w:rPr>
        <w:t xml:space="preserve"> This has allowed the council to take information from the internal audit work that has been done during the year, but the senior management team may choose to return to some of the work reported here in future, and additional audit work may be undertaken to reinforce it.</w:t>
      </w:r>
    </w:p>
    <w:p w:rsidR="00462185" w:rsidRPr="0012646A" w:rsidRDefault="00B85CD6" w:rsidP="00462185">
      <w:pPr>
        <w:pStyle w:val="Heading3"/>
        <w:tabs>
          <w:tab w:val="left" w:pos="284"/>
        </w:tabs>
        <w:spacing w:after="120"/>
        <w:rPr>
          <w:rFonts w:ascii="Arial" w:hAnsi="Arial" w:cs="Arial"/>
        </w:rPr>
      </w:pPr>
      <w:r w:rsidRPr="0012646A">
        <w:rPr>
          <w:rFonts w:ascii="Arial" w:hAnsi="Arial" w:cs="Arial"/>
        </w:rPr>
        <w:t>The role of internal audit</w:t>
      </w:r>
    </w:p>
    <w:p w:rsidR="00462185" w:rsidRPr="0012646A" w:rsidRDefault="00B85CD6" w:rsidP="00462185">
      <w:pPr>
        <w:numPr>
          <w:ilvl w:val="1"/>
          <w:numId w:val="1"/>
        </w:numPr>
        <w:spacing w:before="120" w:after="120"/>
        <w:rPr>
          <w:rFonts w:cs="Arial"/>
        </w:rPr>
      </w:pPr>
      <w:r w:rsidRPr="0012646A">
        <w:rPr>
          <w:rFonts w:cs="Arial"/>
        </w:rPr>
        <w:t xml:space="preserve">The Internal Audit Service is an assurance function that provides an independent and objective opinion on the adequacy and effectiveness of the council's control environment. The Public Sector Internal Audit Standards (PSIAS) issued by the Chartered Institute of Public Finance and Accountancy (CIPFA) and the Chartered Institute of Internal Auditors (CIIA) require the </w:t>
      </w:r>
      <w:r w:rsidR="00F909F8">
        <w:rPr>
          <w:rFonts w:cs="Arial"/>
        </w:rPr>
        <w:t>H</w:t>
      </w:r>
      <w:r w:rsidRPr="0012646A">
        <w:rPr>
          <w:rFonts w:cs="Arial"/>
        </w:rPr>
        <w:t xml:space="preserve">ead of </w:t>
      </w:r>
      <w:r w:rsidR="00F909F8">
        <w:rPr>
          <w:rFonts w:cs="Arial"/>
        </w:rPr>
        <w:t>I</w:t>
      </w:r>
      <w:r w:rsidRPr="0012646A">
        <w:rPr>
          <w:rFonts w:cs="Arial"/>
        </w:rPr>
        <w:t xml:space="preserve">nternal </w:t>
      </w:r>
      <w:r w:rsidR="00F909F8">
        <w:rPr>
          <w:rFonts w:cs="Arial"/>
        </w:rPr>
        <w:t>A</w:t>
      </w:r>
      <w:r w:rsidRPr="0012646A">
        <w:rPr>
          <w:rFonts w:cs="Arial"/>
        </w:rPr>
        <w:t>udit to provide an opinion on the council's control environment and a written report to those charged with governance, timed to support the annual governance statement. This report presents my opinion based upon the work the Internal Audit S</w:t>
      </w:r>
      <w:r>
        <w:rPr>
          <w:rFonts w:cs="Arial"/>
        </w:rPr>
        <w:t>ervice has performed during 2019/20</w:t>
      </w:r>
      <w:r w:rsidRPr="0012646A">
        <w:rPr>
          <w:rFonts w:cs="Arial"/>
        </w:rPr>
        <w:t>.</w:t>
      </w:r>
    </w:p>
    <w:p w:rsidR="00462185" w:rsidRPr="0012646A" w:rsidRDefault="00B85CD6" w:rsidP="00462185">
      <w:pPr>
        <w:numPr>
          <w:ilvl w:val="1"/>
          <w:numId w:val="1"/>
        </w:numPr>
        <w:spacing w:before="120" w:after="120"/>
        <w:rPr>
          <w:rFonts w:cs="Arial"/>
        </w:rPr>
      </w:pPr>
      <w:r w:rsidRPr="0012646A">
        <w:rPr>
          <w:rFonts w:cs="Arial"/>
        </w:rPr>
        <w:t xml:space="preserve">The scope of our work, management and audit’s responsibilities, the basis of my assessment, and access to this report are set out in </w:t>
      </w:r>
      <w:r>
        <w:rPr>
          <w:rFonts w:cs="Arial"/>
        </w:rPr>
        <w:t xml:space="preserve">annexes </w:t>
      </w:r>
      <w:r w:rsidRPr="0012646A">
        <w:rPr>
          <w:rFonts w:cs="Arial"/>
        </w:rPr>
        <w:t>to this report.</w:t>
      </w:r>
    </w:p>
    <w:p w:rsidR="00462185" w:rsidRPr="0012646A" w:rsidRDefault="00B85CD6" w:rsidP="00462185">
      <w:pPr>
        <w:pStyle w:val="Heading3"/>
        <w:tabs>
          <w:tab w:val="left" w:pos="284"/>
        </w:tabs>
        <w:spacing w:after="120"/>
        <w:rPr>
          <w:rFonts w:ascii="Arial" w:hAnsi="Arial" w:cs="Arial"/>
        </w:rPr>
      </w:pPr>
      <w:r w:rsidRPr="0012646A">
        <w:rPr>
          <w:rFonts w:ascii="Arial" w:hAnsi="Arial" w:cs="Arial"/>
        </w:rPr>
        <w:t>Interim progress reports</w:t>
      </w:r>
    </w:p>
    <w:p w:rsidR="00454C3F" w:rsidRDefault="00B85CD6" w:rsidP="00462185">
      <w:pPr>
        <w:numPr>
          <w:ilvl w:val="1"/>
          <w:numId w:val="1"/>
        </w:numPr>
        <w:spacing w:before="120" w:after="120"/>
        <w:rPr>
          <w:rFonts w:cs="Arial"/>
        </w:rPr>
      </w:pPr>
      <w:r w:rsidRPr="0012646A">
        <w:rPr>
          <w:rFonts w:cs="Arial"/>
        </w:rPr>
        <w:t xml:space="preserve">I have provided summaries of the audit work completed </w:t>
      </w:r>
      <w:r>
        <w:rPr>
          <w:rFonts w:cs="Arial"/>
        </w:rPr>
        <w:t xml:space="preserve">during </w:t>
      </w:r>
      <w:r w:rsidRPr="0012646A">
        <w:rPr>
          <w:rFonts w:cs="Arial"/>
        </w:rPr>
        <w:t xml:space="preserve">the course of the year in my progress reports to </w:t>
      </w:r>
      <w:r>
        <w:rPr>
          <w:rFonts w:cs="Arial"/>
        </w:rPr>
        <w:t>the</w:t>
      </w:r>
      <w:r w:rsidRPr="0012646A">
        <w:rPr>
          <w:rFonts w:cs="Arial"/>
        </w:rPr>
        <w:t xml:space="preserve"> meeting</w:t>
      </w:r>
      <w:r>
        <w:rPr>
          <w:rFonts w:cs="Arial"/>
        </w:rPr>
        <w:t>s</w:t>
      </w:r>
      <w:r w:rsidRPr="0012646A">
        <w:rPr>
          <w:rFonts w:cs="Arial"/>
        </w:rPr>
        <w:t xml:space="preserve"> of the Audit, Risk and Governance Committee</w:t>
      </w:r>
      <w:r>
        <w:rPr>
          <w:rFonts w:cs="Arial"/>
        </w:rPr>
        <w:t xml:space="preserve"> in October 2019 and January 2020</w:t>
      </w:r>
      <w:r w:rsidRPr="0012646A">
        <w:rPr>
          <w:rFonts w:cs="Arial"/>
        </w:rPr>
        <w:t xml:space="preserve">. </w:t>
      </w:r>
      <w:r>
        <w:rPr>
          <w:rFonts w:cs="Arial"/>
        </w:rPr>
        <w:t xml:space="preserve">However </w:t>
      </w:r>
      <w:r>
        <w:rPr>
          <w:rFonts w:cs="Arial"/>
        </w:rPr>
        <w:lastRenderedPageBreak/>
        <w:t>since the majority of the work has not been reported before, all the audit work completed under the plan for the year has been included in this report.</w:t>
      </w:r>
    </w:p>
    <w:p w:rsidR="00462185" w:rsidRPr="0012646A" w:rsidRDefault="00B85CD6" w:rsidP="00462185">
      <w:pPr>
        <w:numPr>
          <w:ilvl w:val="1"/>
          <w:numId w:val="1"/>
        </w:numPr>
        <w:spacing w:before="120" w:after="120"/>
        <w:rPr>
          <w:rFonts w:cs="Arial"/>
        </w:rPr>
      </w:pPr>
      <w:r w:rsidRPr="0012646A">
        <w:rPr>
          <w:rFonts w:cs="Arial"/>
        </w:rPr>
        <w:t xml:space="preserve">Any </w:t>
      </w:r>
      <w:r>
        <w:rPr>
          <w:rFonts w:cs="Arial"/>
        </w:rPr>
        <w:t xml:space="preserve">individual </w:t>
      </w:r>
      <w:r w:rsidRPr="0012646A">
        <w:rPr>
          <w:rFonts w:cs="Arial"/>
        </w:rPr>
        <w:t>audit reports will be provided to any members if they wish.</w:t>
      </w:r>
      <w:r>
        <w:rPr>
          <w:rFonts w:cs="Arial"/>
        </w:rPr>
        <w:t xml:space="preserve"> </w:t>
      </w:r>
    </w:p>
    <w:p w:rsidR="00462185" w:rsidRPr="0012646A" w:rsidRDefault="00B85CD6" w:rsidP="00462185">
      <w:pPr>
        <w:pStyle w:val="Heading1"/>
        <w:numPr>
          <w:ilvl w:val="0"/>
          <w:numId w:val="1"/>
        </w:numPr>
        <w:spacing w:after="120"/>
        <w:rPr>
          <w:rFonts w:ascii="Arial" w:hAnsi="Arial" w:cs="Arial"/>
        </w:rPr>
      </w:pPr>
      <w:bookmarkStart w:id="1" w:name="Assessment"/>
      <w:bookmarkStart w:id="2" w:name="OLE_LINK3"/>
      <w:bookmarkStart w:id="3" w:name="OLE_LINK4"/>
      <w:r w:rsidRPr="0012646A">
        <w:rPr>
          <w:rFonts w:ascii="Arial" w:hAnsi="Arial" w:cs="Arial"/>
        </w:rPr>
        <w:t>Summary assessment</w:t>
      </w:r>
      <w:bookmarkEnd w:id="1"/>
      <w:r w:rsidRPr="0012646A">
        <w:rPr>
          <w:rFonts w:ascii="Arial" w:hAnsi="Arial" w:cs="Arial"/>
        </w:rPr>
        <w:t xml:space="preserve"> of internal control</w:t>
      </w:r>
    </w:p>
    <w:p w:rsidR="00462185" w:rsidRPr="0012646A" w:rsidRDefault="00B85CD6" w:rsidP="00462185">
      <w:pPr>
        <w:pStyle w:val="Heading3"/>
        <w:tabs>
          <w:tab w:val="left" w:pos="284"/>
        </w:tabs>
        <w:spacing w:after="120"/>
        <w:rPr>
          <w:rFonts w:ascii="Arial" w:hAnsi="Arial" w:cs="Arial"/>
          <w:bCs w:val="0"/>
        </w:rPr>
      </w:pPr>
      <w:r w:rsidRPr="0012646A">
        <w:rPr>
          <w:rFonts w:ascii="Arial" w:hAnsi="Arial" w:cs="Arial"/>
        </w:rPr>
        <w:t>Overall opinion</w:t>
      </w:r>
    </w:p>
    <w:p w:rsidR="00462185" w:rsidRPr="0012646A" w:rsidRDefault="00B85CD6" w:rsidP="00462185">
      <w:pPr>
        <w:numPr>
          <w:ilvl w:val="1"/>
          <w:numId w:val="1"/>
        </w:numPr>
        <w:spacing w:before="120" w:after="120"/>
        <w:rPr>
          <w:rFonts w:cs="Arial"/>
        </w:rPr>
      </w:pPr>
      <w:r w:rsidRPr="0012646A">
        <w:rPr>
          <w:rFonts w:cs="Arial"/>
        </w:rPr>
        <w:t>I can provide moderate assurance overall regarding the adequacy of design and effectiveness in operation of the organisation's frameworks of governance, risk management and control.</w:t>
      </w:r>
    </w:p>
    <w:p w:rsidR="007345D3" w:rsidRPr="0012646A" w:rsidRDefault="00B85CD6" w:rsidP="007345D3">
      <w:pPr>
        <w:numPr>
          <w:ilvl w:val="1"/>
          <w:numId w:val="1"/>
        </w:numPr>
        <w:spacing w:before="120" w:after="120"/>
        <w:rPr>
          <w:rFonts w:cs="Arial"/>
        </w:rPr>
      </w:pPr>
      <w:r w:rsidRPr="0012646A">
        <w:rPr>
          <w:rFonts w:cs="Arial"/>
        </w:rPr>
        <w:t>In forming my opinion I have considered the work undertaken by the Internal Audit Service throughout the year as well as the work of external assurance providers and information available from less formal sources than planned audit engagements. Audit work has covered the full range of the council's services and each element of the control framework.</w:t>
      </w:r>
    </w:p>
    <w:p w:rsidR="00162DA8" w:rsidRDefault="00B85CD6" w:rsidP="007345D3">
      <w:pPr>
        <w:numPr>
          <w:ilvl w:val="1"/>
          <w:numId w:val="1"/>
        </w:numPr>
        <w:spacing w:before="120" w:after="120"/>
        <w:rPr>
          <w:rFonts w:cs="Arial"/>
        </w:rPr>
      </w:pPr>
      <w:r>
        <w:rPr>
          <w:rFonts w:cs="Arial"/>
        </w:rPr>
        <w:t>The work undertaken and reported here predates the impact of Covid-19 on the organisation and the wider community. Audit work on the council's emergency planning during recent years has indicated that the council has controls and governance arrangements in place to respond to emergencies, and so it has proved in the last month of the year and beyond.</w:t>
      </w:r>
    </w:p>
    <w:p w:rsidR="00162DA8" w:rsidRPr="00F11B88" w:rsidRDefault="00B85CD6" w:rsidP="007345D3">
      <w:pPr>
        <w:numPr>
          <w:ilvl w:val="1"/>
          <w:numId w:val="1"/>
        </w:numPr>
        <w:spacing w:before="120" w:after="120"/>
        <w:rPr>
          <w:rFonts w:cs="Arial"/>
        </w:rPr>
      </w:pPr>
      <w:r>
        <w:rPr>
          <w:rFonts w:cs="Arial"/>
        </w:rPr>
        <w:t xml:space="preserve">However this report addresses the range of controls that were operating before the introduction of the wide-ranging organisational changes required to respond to the coronavirus pandemic. It sets out the baseline from which the organisation has departed to address the pandemic, and is informed by its governance, risk management and control frameworks prior to March </w:t>
      </w:r>
      <w:r w:rsidRPr="00F11B88">
        <w:rPr>
          <w:rFonts w:cs="Arial"/>
        </w:rPr>
        <w:t>2020.</w:t>
      </w:r>
    </w:p>
    <w:p w:rsidR="00D11EDD" w:rsidRDefault="00B85CD6" w:rsidP="007345D3">
      <w:pPr>
        <w:numPr>
          <w:ilvl w:val="1"/>
          <w:numId w:val="1"/>
        </w:numPr>
        <w:spacing w:before="120" w:after="120"/>
        <w:rPr>
          <w:rFonts w:cs="Arial"/>
        </w:rPr>
      </w:pPr>
      <w:r w:rsidRPr="00F11B88">
        <w:rPr>
          <w:rFonts w:cs="Arial"/>
        </w:rPr>
        <w:t xml:space="preserve">Annexed to this </w:t>
      </w:r>
      <w:r>
        <w:rPr>
          <w:rFonts w:cs="Arial"/>
        </w:rPr>
        <w:t>report are:</w:t>
      </w:r>
    </w:p>
    <w:p w:rsidR="00D11EDD" w:rsidRDefault="00B85CD6" w:rsidP="00D11EDD">
      <w:pPr>
        <w:pStyle w:val="Ruthsbullets"/>
      </w:pPr>
      <w:r>
        <w:t>A summary of the work set out in the audit plan for the year with the assurance provided by each audit engagement (Annex A)</w:t>
      </w:r>
    </w:p>
    <w:p w:rsidR="00D11EDD" w:rsidRDefault="00B85CD6" w:rsidP="00D11EDD">
      <w:pPr>
        <w:pStyle w:val="Ruthsbullets"/>
      </w:pPr>
      <w:r>
        <w:t>A more detailed summary of the findings of each engagement (Annex B)</w:t>
      </w:r>
    </w:p>
    <w:p w:rsidR="00D11EDD" w:rsidRDefault="00B85CD6" w:rsidP="00D11EDD">
      <w:pPr>
        <w:pStyle w:val="Ruthsbullets"/>
      </w:pPr>
      <w:r>
        <w:t xml:space="preserve">An </w:t>
      </w:r>
      <w:r w:rsidRPr="0012646A">
        <w:t xml:space="preserve">explanation of the </w:t>
      </w:r>
      <w:r>
        <w:t xml:space="preserve">categories of </w:t>
      </w:r>
      <w:r w:rsidRPr="0012646A">
        <w:t>assurance provided</w:t>
      </w:r>
      <w:r>
        <w:t xml:space="preserve"> (Annex C)</w:t>
      </w:r>
    </w:p>
    <w:p w:rsidR="004C022F" w:rsidRDefault="00B85CD6" w:rsidP="00281F4A">
      <w:pPr>
        <w:pStyle w:val="Ruthsbullets"/>
      </w:pPr>
      <w:r>
        <w:t xml:space="preserve">An explanation of the </w:t>
      </w:r>
      <w:r w:rsidRPr="0012646A">
        <w:t>scope of our work, management and audit’s responsibilities, the basis of my assessment, and access to this report</w:t>
      </w:r>
      <w:r>
        <w:t xml:space="preserve"> (Annex D)</w:t>
      </w:r>
    </w:p>
    <w:p w:rsidR="00462185" w:rsidRPr="0012646A" w:rsidRDefault="00B85CD6" w:rsidP="00462185">
      <w:pPr>
        <w:pStyle w:val="Heading3"/>
        <w:tabs>
          <w:tab w:val="left" w:pos="284"/>
        </w:tabs>
        <w:spacing w:after="120"/>
        <w:rPr>
          <w:rFonts w:ascii="Arial" w:hAnsi="Arial" w:cs="Arial"/>
        </w:rPr>
      </w:pPr>
      <w:r w:rsidRPr="0012646A">
        <w:rPr>
          <w:rFonts w:ascii="Arial" w:hAnsi="Arial" w:cs="Arial"/>
        </w:rPr>
        <w:t>The council's control framework</w:t>
      </w:r>
    </w:p>
    <w:p w:rsidR="00462185" w:rsidRPr="0012646A" w:rsidRDefault="00B85CD6" w:rsidP="00462185">
      <w:pPr>
        <w:numPr>
          <w:ilvl w:val="1"/>
          <w:numId w:val="1"/>
        </w:numPr>
        <w:spacing w:before="120" w:after="120"/>
        <w:rPr>
          <w:rFonts w:cs="Arial"/>
        </w:rPr>
      </w:pPr>
      <w:r w:rsidRPr="0012646A">
        <w:rPr>
          <w:rFonts w:cs="Arial"/>
        </w:rPr>
        <w:t>Our work has been organised in accordance with the Internal Audit Service's planning principles and an understanding of the council's controls at the start of the year, which was set out as follows</w:t>
      </w:r>
      <w:r>
        <w:rPr>
          <w:rFonts w:cs="Arial"/>
        </w:rPr>
        <w:t xml:space="preserve"> on the next page</w:t>
      </w:r>
      <w:r w:rsidRPr="0012646A">
        <w:rPr>
          <w:rFonts w:cs="Arial"/>
        </w:rPr>
        <w:t>:</w:t>
      </w:r>
    </w:p>
    <w:p w:rsidR="00462185" w:rsidRPr="0012646A" w:rsidRDefault="00B85CD6" w:rsidP="007345D3">
      <w:pPr>
        <w:ind w:firstLine="851"/>
        <w:rPr>
          <w:rFonts w:cs="Arial"/>
        </w:rPr>
      </w:pPr>
      <w:r w:rsidRPr="00684BB2">
        <w:rPr>
          <w:noProof/>
        </w:rPr>
        <w:lastRenderedPageBreak/>
        <w:drawing>
          <wp:inline distT="0" distB="0" distL="0" distR="0">
            <wp:extent cx="4788130" cy="34802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9576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16288" cy="3500733"/>
                    </a:xfrm>
                    <a:prstGeom prst="rect">
                      <a:avLst/>
                    </a:prstGeom>
                    <a:noFill/>
                    <a:ln>
                      <a:noFill/>
                    </a:ln>
                  </pic:spPr>
                </pic:pic>
              </a:graphicData>
            </a:graphic>
          </wp:inline>
        </w:drawing>
      </w:r>
    </w:p>
    <w:p w:rsidR="00462185" w:rsidRPr="0012646A" w:rsidRDefault="00B85CD6" w:rsidP="00462185">
      <w:pPr>
        <w:pStyle w:val="Heading3"/>
        <w:tabs>
          <w:tab w:val="left" w:pos="284"/>
        </w:tabs>
        <w:spacing w:after="120"/>
        <w:rPr>
          <w:rFonts w:ascii="Arial" w:hAnsi="Arial" w:cs="Arial"/>
        </w:rPr>
      </w:pPr>
      <w:r w:rsidRPr="0012646A">
        <w:rPr>
          <w:rFonts w:ascii="Arial" w:hAnsi="Arial" w:cs="Arial"/>
        </w:rPr>
        <w:t>Summary of assurance provided by the Internal Audit Service</w:t>
      </w:r>
    </w:p>
    <w:p w:rsidR="00551243" w:rsidRPr="009E4882" w:rsidRDefault="00B85CD6" w:rsidP="006C5C84">
      <w:pPr>
        <w:numPr>
          <w:ilvl w:val="1"/>
          <w:numId w:val="1"/>
        </w:numPr>
        <w:spacing w:before="120" w:after="120"/>
        <w:rPr>
          <w:rFonts w:cs="Arial"/>
        </w:rPr>
      </w:pPr>
      <w:r w:rsidRPr="009E4882">
        <w:rPr>
          <w:rFonts w:cs="Arial"/>
        </w:rPr>
        <w:t>A summary of all the assurance provided during the year is set out in the table below. This includes each engagement directed to providing controls assurance, but it excludes work for example on the certification of grant funding claims and participation in working groups, since this has not been directed at providing assurance. For comparison the summaries of audits completed in the previous three years are also included.</w:t>
      </w:r>
    </w:p>
    <w:tbl>
      <w:tblPr>
        <w:tblStyle w:val="TableGrid1"/>
        <w:tblW w:w="7938" w:type="dxa"/>
        <w:tblInd w:w="846" w:type="dxa"/>
        <w:tblLayout w:type="fixed"/>
        <w:tblLook w:val="04A0" w:firstRow="1" w:lastRow="0" w:firstColumn="1" w:lastColumn="0" w:noHBand="0" w:noVBand="1"/>
      </w:tblPr>
      <w:tblGrid>
        <w:gridCol w:w="2551"/>
        <w:gridCol w:w="993"/>
        <w:gridCol w:w="1417"/>
        <w:gridCol w:w="1276"/>
        <w:gridCol w:w="992"/>
        <w:gridCol w:w="709"/>
      </w:tblGrid>
      <w:tr w:rsidR="009C1F4F" w:rsidTr="00D0678B">
        <w:tc>
          <w:tcPr>
            <w:tcW w:w="2551" w:type="dxa"/>
            <w:vMerge w:val="restart"/>
            <w:tcBorders>
              <w:top w:val="single" w:sz="4" w:space="0" w:color="auto"/>
              <w:left w:val="single" w:sz="4" w:space="0" w:color="auto"/>
            </w:tcBorders>
            <w:shd w:val="clear" w:color="auto" w:fill="D9D9D9" w:themeFill="background1" w:themeFillShade="D9"/>
          </w:tcPr>
          <w:p w:rsidR="00B20665" w:rsidRPr="0012646A" w:rsidRDefault="00B85CD6" w:rsidP="003C4B36">
            <w:pPr>
              <w:tabs>
                <w:tab w:val="left" w:pos="284"/>
              </w:tabs>
              <w:spacing w:before="40" w:after="40"/>
              <w:rPr>
                <w:rFonts w:cs="Arial"/>
                <w:b/>
                <w:sz w:val="22"/>
                <w:szCs w:val="22"/>
                <w:lang w:eastAsia="en-US"/>
              </w:rPr>
            </w:pPr>
            <w:r>
              <w:rPr>
                <w:rFonts w:cs="Arial"/>
                <w:b/>
                <w:sz w:val="22"/>
                <w:szCs w:val="22"/>
                <w:lang w:eastAsia="en-US"/>
              </w:rPr>
              <w:t>2019/20</w:t>
            </w:r>
            <w:r w:rsidRPr="0012646A">
              <w:rPr>
                <w:rFonts w:cs="Arial"/>
                <w:b/>
                <w:sz w:val="22"/>
                <w:szCs w:val="22"/>
                <w:lang w:eastAsia="en-US"/>
              </w:rPr>
              <w:t xml:space="preserve"> </w:t>
            </w:r>
            <w:r>
              <w:rPr>
                <w:rFonts w:cs="Arial"/>
                <w:b/>
                <w:sz w:val="22"/>
                <w:szCs w:val="22"/>
                <w:lang w:eastAsia="en-US"/>
              </w:rPr>
              <w:t>engagements</w:t>
            </w:r>
            <w:r w:rsidRPr="0012646A">
              <w:rPr>
                <w:rFonts w:cs="Arial"/>
                <w:b/>
                <w:sz w:val="22"/>
                <w:szCs w:val="22"/>
                <w:lang w:eastAsia="en-US"/>
              </w:rPr>
              <w:t xml:space="preserve"> relating to:</w:t>
            </w:r>
          </w:p>
        </w:tc>
        <w:tc>
          <w:tcPr>
            <w:tcW w:w="993" w:type="dxa"/>
            <w:vMerge w:val="restart"/>
            <w:shd w:val="clear" w:color="auto" w:fill="D9D9D9" w:themeFill="background1" w:themeFillShade="D9"/>
          </w:tcPr>
          <w:p w:rsidR="00B20665" w:rsidRPr="0012646A" w:rsidRDefault="0031456E" w:rsidP="003C4B36">
            <w:pPr>
              <w:tabs>
                <w:tab w:val="left" w:pos="284"/>
              </w:tabs>
              <w:spacing w:before="40" w:after="40"/>
              <w:jc w:val="center"/>
              <w:rPr>
                <w:rFonts w:cs="Arial"/>
                <w:b/>
                <w:sz w:val="22"/>
                <w:szCs w:val="22"/>
                <w:lang w:eastAsia="en-US"/>
              </w:rPr>
            </w:pPr>
          </w:p>
          <w:p w:rsidR="00B20665" w:rsidRPr="0012646A" w:rsidRDefault="00B85CD6" w:rsidP="003C4B36">
            <w:pPr>
              <w:tabs>
                <w:tab w:val="left" w:pos="284"/>
              </w:tabs>
              <w:spacing w:before="40" w:after="40"/>
              <w:jc w:val="center"/>
              <w:rPr>
                <w:rFonts w:cs="Arial"/>
                <w:b/>
                <w:sz w:val="22"/>
                <w:szCs w:val="22"/>
                <w:lang w:eastAsia="en-US"/>
              </w:rPr>
            </w:pPr>
            <w:r w:rsidRPr="0012646A">
              <w:rPr>
                <w:rFonts w:cs="Arial"/>
                <w:b/>
                <w:sz w:val="22"/>
                <w:szCs w:val="22"/>
                <w:lang w:eastAsia="en-US"/>
              </w:rPr>
              <w:t>Total</w:t>
            </w:r>
          </w:p>
        </w:tc>
        <w:tc>
          <w:tcPr>
            <w:tcW w:w="4394" w:type="dxa"/>
            <w:gridSpan w:val="4"/>
            <w:shd w:val="clear" w:color="auto" w:fill="D9D9D9" w:themeFill="background1" w:themeFillShade="D9"/>
          </w:tcPr>
          <w:p w:rsidR="00B20665" w:rsidRPr="0012646A" w:rsidRDefault="00B85CD6" w:rsidP="003C4B36">
            <w:pPr>
              <w:tabs>
                <w:tab w:val="left" w:pos="284"/>
              </w:tabs>
              <w:spacing w:before="40" w:after="40"/>
              <w:jc w:val="center"/>
              <w:rPr>
                <w:rFonts w:cs="Arial"/>
                <w:b/>
                <w:sz w:val="22"/>
                <w:szCs w:val="22"/>
                <w:lang w:eastAsia="en-US"/>
              </w:rPr>
            </w:pPr>
            <w:r w:rsidRPr="0012646A">
              <w:rPr>
                <w:rFonts w:cs="Arial"/>
                <w:b/>
                <w:sz w:val="22"/>
                <w:szCs w:val="22"/>
                <w:lang w:eastAsia="en-US"/>
              </w:rPr>
              <w:t>Assurance provided</w:t>
            </w:r>
          </w:p>
        </w:tc>
      </w:tr>
      <w:tr w:rsidR="009C1F4F" w:rsidTr="00D0678B">
        <w:trPr>
          <w:trHeight w:val="217"/>
        </w:trPr>
        <w:tc>
          <w:tcPr>
            <w:tcW w:w="2551" w:type="dxa"/>
            <w:vMerge/>
            <w:tcBorders>
              <w:left w:val="single" w:sz="4" w:space="0" w:color="auto"/>
            </w:tcBorders>
            <w:shd w:val="clear" w:color="auto" w:fill="D9D9D9" w:themeFill="background1" w:themeFillShade="D9"/>
          </w:tcPr>
          <w:p w:rsidR="00B20665" w:rsidRPr="0012646A" w:rsidRDefault="0031456E" w:rsidP="003C4B36">
            <w:pPr>
              <w:tabs>
                <w:tab w:val="left" w:pos="284"/>
              </w:tabs>
              <w:spacing w:before="40" w:after="40"/>
              <w:rPr>
                <w:rFonts w:cs="Arial"/>
                <w:b/>
                <w:sz w:val="22"/>
                <w:szCs w:val="22"/>
                <w:lang w:eastAsia="en-US"/>
              </w:rPr>
            </w:pPr>
          </w:p>
        </w:tc>
        <w:tc>
          <w:tcPr>
            <w:tcW w:w="993" w:type="dxa"/>
            <w:vMerge/>
            <w:shd w:val="clear" w:color="auto" w:fill="D9D9D9" w:themeFill="background1" w:themeFillShade="D9"/>
          </w:tcPr>
          <w:p w:rsidR="00B20665" w:rsidRPr="0012646A" w:rsidRDefault="0031456E" w:rsidP="003C4B36">
            <w:pPr>
              <w:tabs>
                <w:tab w:val="left" w:pos="284"/>
              </w:tabs>
              <w:spacing w:before="40" w:after="40"/>
              <w:jc w:val="center"/>
              <w:rPr>
                <w:rFonts w:cs="Arial"/>
                <w:b/>
                <w:sz w:val="22"/>
                <w:szCs w:val="22"/>
                <w:lang w:eastAsia="en-US"/>
              </w:rPr>
            </w:pPr>
          </w:p>
        </w:tc>
        <w:tc>
          <w:tcPr>
            <w:tcW w:w="1417" w:type="dxa"/>
            <w:shd w:val="clear" w:color="auto" w:fill="D9D9D9" w:themeFill="background1" w:themeFillShade="D9"/>
            <w:tcMar>
              <w:left w:w="57" w:type="dxa"/>
              <w:right w:w="57" w:type="dxa"/>
            </w:tcMar>
          </w:tcPr>
          <w:p w:rsidR="00B20665" w:rsidRPr="0012646A" w:rsidRDefault="00B85CD6" w:rsidP="003C4B36">
            <w:pPr>
              <w:tabs>
                <w:tab w:val="left" w:pos="284"/>
              </w:tabs>
              <w:spacing w:before="40" w:after="40"/>
              <w:jc w:val="center"/>
              <w:rPr>
                <w:rFonts w:cs="Arial"/>
                <w:b/>
                <w:sz w:val="22"/>
                <w:szCs w:val="22"/>
                <w:lang w:eastAsia="en-US"/>
              </w:rPr>
            </w:pPr>
            <w:r w:rsidRPr="0012646A">
              <w:rPr>
                <w:rFonts w:cs="Arial"/>
                <w:b/>
                <w:sz w:val="22"/>
                <w:szCs w:val="22"/>
                <w:lang w:eastAsia="en-US"/>
              </w:rPr>
              <w:t>Substantial*</w:t>
            </w:r>
          </w:p>
        </w:tc>
        <w:tc>
          <w:tcPr>
            <w:tcW w:w="1276" w:type="dxa"/>
            <w:shd w:val="clear" w:color="auto" w:fill="D9D9D9" w:themeFill="background1" w:themeFillShade="D9"/>
            <w:tcMar>
              <w:left w:w="57" w:type="dxa"/>
              <w:right w:w="57" w:type="dxa"/>
            </w:tcMar>
          </w:tcPr>
          <w:p w:rsidR="00B20665" w:rsidRPr="0012646A" w:rsidRDefault="00B85CD6" w:rsidP="003C4B36">
            <w:pPr>
              <w:tabs>
                <w:tab w:val="left" w:pos="284"/>
              </w:tabs>
              <w:spacing w:before="40" w:after="40"/>
              <w:jc w:val="center"/>
              <w:rPr>
                <w:rFonts w:cs="Arial"/>
                <w:b/>
                <w:sz w:val="22"/>
                <w:szCs w:val="22"/>
                <w:lang w:eastAsia="en-US"/>
              </w:rPr>
            </w:pPr>
            <w:r w:rsidRPr="0012646A">
              <w:rPr>
                <w:rFonts w:cs="Arial"/>
                <w:b/>
                <w:sz w:val="22"/>
                <w:szCs w:val="22"/>
                <w:lang w:eastAsia="en-US"/>
              </w:rPr>
              <w:t>Moderate*</w:t>
            </w:r>
          </w:p>
        </w:tc>
        <w:tc>
          <w:tcPr>
            <w:tcW w:w="992" w:type="dxa"/>
            <w:shd w:val="clear" w:color="auto" w:fill="D9D9D9" w:themeFill="background1" w:themeFillShade="D9"/>
            <w:tcMar>
              <w:left w:w="57" w:type="dxa"/>
              <w:right w:w="57" w:type="dxa"/>
            </w:tcMar>
          </w:tcPr>
          <w:p w:rsidR="00B20665" w:rsidRPr="0012646A" w:rsidRDefault="00B85CD6" w:rsidP="003C4B36">
            <w:pPr>
              <w:tabs>
                <w:tab w:val="left" w:pos="284"/>
              </w:tabs>
              <w:spacing w:before="40" w:after="40"/>
              <w:jc w:val="center"/>
              <w:rPr>
                <w:rFonts w:cs="Arial"/>
                <w:b/>
                <w:sz w:val="22"/>
                <w:szCs w:val="22"/>
                <w:lang w:eastAsia="en-US"/>
              </w:rPr>
            </w:pPr>
            <w:r w:rsidRPr="0012646A">
              <w:rPr>
                <w:rFonts w:cs="Arial"/>
                <w:b/>
                <w:sz w:val="22"/>
                <w:szCs w:val="22"/>
                <w:lang w:eastAsia="en-US"/>
              </w:rPr>
              <w:t>Limited</w:t>
            </w:r>
          </w:p>
        </w:tc>
        <w:tc>
          <w:tcPr>
            <w:tcW w:w="709" w:type="dxa"/>
            <w:shd w:val="clear" w:color="auto" w:fill="D9D9D9" w:themeFill="background1" w:themeFillShade="D9"/>
            <w:tcMar>
              <w:left w:w="57" w:type="dxa"/>
              <w:right w:w="57" w:type="dxa"/>
            </w:tcMar>
          </w:tcPr>
          <w:p w:rsidR="00B20665" w:rsidRPr="0012646A" w:rsidRDefault="00B85CD6" w:rsidP="003C4B36">
            <w:pPr>
              <w:tabs>
                <w:tab w:val="left" w:pos="284"/>
              </w:tabs>
              <w:spacing w:before="40" w:after="40"/>
              <w:jc w:val="center"/>
              <w:rPr>
                <w:rFonts w:cs="Arial"/>
                <w:b/>
                <w:sz w:val="22"/>
                <w:szCs w:val="22"/>
                <w:lang w:eastAsia="en-US"/>
              </w:rPr>
            </w:pPr>
            <w:r w:rsidRPr="0012646A">
              <w:rPr>
                <w:rFonts w:cs="Arial"/>
                <w:b/>
                <w:sz w:val="22"/>
                <w:szCs w:val="22"/>
                <w:lang w:eastAsia="en-US"/>
              </w:rPr>
              <w:t>None</w:t>
            </w:r>
          </w:p>
        </w:tc>
      </w:tr>
      <w:tr w:rsidR="009C1F4F" w:rsidTr="00D0678B">
        <w:tc>
          <w:tcPr>
            <w:tcW w:w="2551" w:type="dxa"/>
          </w:tcPr>
          <w:p w:rsidR="00B20665" w:rsidRPr="0012646A" w:rsidRDefault="00B85CD6" w:rsidP="003C4B36">
            <w:pPr>
              <w:tabs>
                <w:tab w:val="left" w:pos="284"/>
              </w:tabs>
              <w:spacing w:before="40" w:after="40"/>
              <w:rPr>
                <w:rFonts w:cs="Arial"/>
                <w:sz w:val="22"/>
                <w:szCs w:val="22"/>
                <w:lang w:eastAsia="en-US"/>
              </w:rPr>
            </w:pPr>
            <w:r w:rsidRPr="0012646A">
              <w:rPr>
                <w:rFonts w:cs="Arial"/>
                <w:sz w:val="22"/>
                <w:szCs w:val="22"/>
                <w:lang w:eastAsia="en-US"/>
              </w:rPr>
              <w:t>Governance</w:t>
            </w:r>
          </w:p>
        </w:tc>
        <w:tc>
          <w:tcPr>
            <w:tcW w:w="993" w:type="dxa"/>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3</w:t>
            </w:r>
          </w:p>
        </w:tc>
        <w:tc>
          <w:tcPr>
            <w:tcW w:w="1417" w:type="dxa"/>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w:t>
            </w:r>
          </w:p>
        </w:tc>
        <w:tc>
          <w:tcPr>
            <w:tcW w:w="1276" w:type="dxa"/>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w:t>
            </w:r>
          </w:p>
        </w:tc>
        <w:tc>
          <w:tcPr>
            <w:tcW w:w="992" w:type="dxa"/>
            <w:vAlign w:val="center"/>
          </w:tcPr>
          <w:p w:rsidR="00B20665" w:rsidRPr="0012646A" w:rsidRDefault="0031456E" w:rsidP="003C4B36">
            <w:pPr>
              <w:spacing w:before="40" w:after="40"/>
              <w:jc w:val="center"/>
              <w:rPr>
                <w:rFonts w:cs="Arial"/>
                <w:sz w:val="22"/>
                <w:szCs w:val="22"/>
                <w:lang w:eastAsia="en-US"/>
              </w:rPr>
            </w:pPr>
            <w:r>
              <w:rPr>
                <w:rFonts w:cs="Arial"/>
                <w:sz w:val="22"/>
                <w:szCs w:val="22"/>
                <w:lang w:eastAsia="en-US"/>
              </w:rPr>
              <w:t>1</w:t>
            </w:r>
          </w:p>
        </w:tc>
        <w:tc>
          <w:tcPr>
            <w:tcW w:w="709" w:type="dxa"/>
            <w:vAlign w:val="center"/>
          </w:tcPr>
          <w:p w:rsidR="00B20665" w:rsidRPr="0012646A" w:rsidRDefault="0031456E" w:rsidP="003C4B36">
            <w:pPr>
              <w:spacing w:before="40" w:after="40"/>
              <w:jc w:val="center"/>
              <w:rPr>
                <w:rFonts w:cs="Arial"/>
                <w:sz w:val="22"/>
                <w:szCs w:val="22"/>
                <w:lang w:eastAsia="en-US"/>
              </w:rPr>
            </w:pPr>
          </w:p>
        </w:tc>
      </w:tr>
      <w:tr w:rsidR="009C1F4F" w:rsidTr="00D0678B">
        <w:tc>
          <w:tcPr>
            <w:tcW w:w="2551" w:type="dxa"/>
          </w:tcPr>
          <w:p w:rsidR="00B20665" w:rsidRPr="0012646A" w:rsidRDefault="00B85CD6" w:rsidP="003C4B36">
            <w:pPr>
              <w:tabs>
                <w:tab w:val="left" w:pos="284"/>
              </w:tabs>
              <w:spacing w:before="40" w:after="40"/>
              <w:rPr>
                <w:rFonts w:cs="Arial"/>
                <w:sz w:val="22"/>
                <w:szCs w:val="22"/>
                <w:lang w:eastAsia="en-US"/>
              </w:rPr>
            </w:pPr>
            <w:r w:rsidRPr="0012646A">
              <w:rPr>
                <w:rFonts w:cs="Arial"/>
                <w:sz w:val="22"/>
                <w:szCs w:val="22"/>
                <w:lang w:eastAsia="en-US"/>
              </w:rPr>
              <w:t xml:space="preserve">Business effectiveness </w:t>
            </w:r>
          </w:p>
        </w:tc>
        <w:tc>
          <w:tcPr>
            <w:tcW w:w="993" w:type="dxa"/>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w:t>
            </w:r>
          </w:p>
        </w:tc>
        <w:tc>
          <w:tcPr>
            <w:tcW w:w="1417" w:type="dxa"/>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w:t>
            </w:r>
          </w:p>
        </w:tc>
        <w:tc>
          <w:tcPr>
            <w:tcW w:w="1276" w:type="dxa"/>
            <w:vAlign w:val="center"/>
          </w:tcPr>
          <w:p w:rsidR="00B20665" w:rsidRPr="0012646A" w:rsidRDefault="0031456E" w:rsidP="003C4B36">
            <w:pPr>
              <w:spacing w:before="40" w:after="40"/>
              <w:jc w:val="center"/>
              <w:rPr>
                <w:rFonts w:cs="Arial"/>
                <w:sz w:val="22"/>
                <w:szCs w:val="22"/>
                <w:lang w:eastAsia="en-US"/>
              </w:rPr>
            </w:pPr>
          </w:p>
        </w:tc>
        <w:tc>
          <w:tcPr>
            <w:tcW w:w="992" w:type="dxa"/>
            <w:vAlign w:val="center"/>
          </w:tcPr>
          <w:p w:rsidR="00B20665" w:rsidRPr="0012646A" w:rsidRDefault="0031456E" w:rsidP="003C4B36">
            <w:pPr>
              <w:spacing w:before="40" w:after="40"/>
              <w:jc w:val="center"/>
              <w:rPr>
                <w:rFonts w:cs="Arial"/>
                <w:sz w:val="22"/>
                <w:szCs w:val="22"/>
                <w:lang w:eastAsia="en-US"/>
              </w:rPr>
            </w:pPr>
          </w:p>
        </w:tc>
        <w:tc>
          <w:tcPr>
            <w:tcW w:w="709" w:type="dxa"/>
            <w:vAlign w:val="center"/>
          </w:tcPr>
          <w:p w:rsidR="00B20665" w:rsidRPr="0012646A" w:rsidRDefault="0031456E" w:rsidP="003C4B36">
            <w:pPr>
              <w:spacing w:before="40" w:after="40"/>
              <w:jc w:val="center"/>
              <w:rPr>
                <w:rFonts w:cs="Arial"/>
                <w:sz w:val="22"/>
                <w:szCs w:val="22"/>
                <w:lang w:eastAsia="en-US"/>
              </w:rPr>
            </w:pPr>
          </w:p>
        </w:tc>
      </w:tr>
      <w:tr w:rsidR="009C1F4F" w:rsidTr="00D0678B">
        <w:tc>
          <w:tcPr>
            <w:tcW w:w="2551" w:type="dxa"/>
            <w:tcBorders>
              <w:bottom w:val="single" w:sz="4" w:space="0" w:color="auto"/>
            </w:tcBorders>
          </w:tcPr>
          <w:p w:rsidR="00B20665" w:rsidRPr="0012646A" w:rsidRDefault="00B85CD6" w:rsidP="003C4B36">
            <w:pPr>
              <w:tabs>
                <w:tab w:val="left" w:pos="284"/>
              </w:tabs>
              <w:spacing w:before="40" w:after="40"/>
              <w:rPr>
                <w:rFonts w:cs="Arial"/>
                <w:sz w:val="22"/>
                <w:szCs w:val="22"/>
                <w:lang w:eastAsia="en-US"/>
              </w:rPr>
            </w:pPr>
            <w:r w:rsidRPr="0012646A">
              <w:rPr>
                <w:rFonts w:cs="Arial"/>
                <w:sz w:val="22"/>
                <w:szCs w:val="22"/>
                <w:lang w:eastAsia="en-US"/>
              </w:rPr>
              <w:t>Service delivery</w:t>
            </w:r>
          </w:p>
        </w:tc>
        <w:tc>
          <w:tcPr>
            <w:tcW w:w="993"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34</w:t>
            </w:r>
          </w:p>
        </w:tc>
        <w:tc>
          <w:tcPr>
            <w:tcW w:w="1417"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8</w:t>
            </w:r>
          </w:p>
        </w:tc>
        <w:tc>
          <w:tcPr>
            <w:tcW w:w="1276"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15</w:t>
            </w:r>
          </w:p>
        </w:tc>
        <w:tc>
          <w:tcPr>
            <w:tcW w:w="992"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11</w:t>
            </w:r>
          </w:p>
        </w:tc>
        <w:tc>
          <w:tcPr>
            <w:tcW w:w="709" w:type="dxa"/>
            <w:tcBorders>
              <w:bottom w:val="single" w:sz="4" w:space="0" w:color="auto"/>
            </w:tcBorders>
            <w:vAlign w:val="center"/>
          </w:tcPr>
          <w:p w:rsidR="00B20665" w:rsidRPr="0012646A" w:rsidRDefault="0031456E" w:rsidP="003C4B36">
            <w:pPr>
              <w:spacing w:before="40" w:after="40"/>
              <w:jc w:val="center"/>
              <w:rPr>
                <w:rFonts w:cs="Arial"/>
                <w:sz w:val="22"/>
                <w:szCs w:val="22"/>
                <w:lang w:eastAsia="en-US"/>
              </w:rPr>
            </w:pPr>
          </w:p>
        </w:tc>
      </w:tr>
      <w:tr w:rsidR="009C1F4F" w:rsidTr="00D0678B">
        <w:tc>
          <w:tcPr>
            <w:tcW w:w="2551" w:type="dxa"/>
            <w:tcBorders>
              <w:bottom w:val="single" w:sz="4" w:space="0" w:color="auto"/>
            </w:tcBorders>
          </w:tcPr>
          <w:p w:rsidR="00B20665" w:rsidRPr="0012646A" w:rsidRDefault="00B85CD6" w:rsidP="003C4B36">
            <w:pPr>
              <w:tabs>
                <w:tab w:val="left" w:pos="284"/>
              </w:tabs>
              <w:spacing w:before="40" w:after="40"/>
              <w:rPr>
                <w:rFonts w:cs="Arial"/>
                <w:sz w:val="22"/>
                <w:szCs w:val="22"/>
                <w:lang w:eastAsia="en-US"/>
              </w:rPr>
            </w:pPr>
            <w:r w:rsidRPr="0012646A">
              <w:rPr>
                <w:rFonts w:cs="Arial"/>
                <w:sz w:val="22"/>
                <w:szCs w:val="22"/>
                <w:lang w:eastAsia="en-US"/>
              </w:rPr>
              <w:t>Service support</w:t>
            </w:r>
          </w:p>
        </w:tc>
        <w:tc>
          <w:tcPr>
            <w:tcW w:w="993"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8</w:t>
            </w:r>
          </w:p>
        </w:tc>
        <w:tc>
          <w:tcPr>
            <w:tcW w:w="1417"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3</w:t>
            </w:r>
          </w:p>
        </w:tc>
        <w:tc>
          <w:tcPr>
            <w:tcW w:w="1276"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4</w:t>
            </w:r>
          </w:p>
        </w:tc>
        <w:tc>
          <w:tcPr>
            <w:tcW w:w="992"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w:t>
            </w:r>
          </w:p>
        </w:tc>
        <w:tc>
          <w:tcPr>
            <w:tcW w:w="709" w:type="dxa"/>
            <w:tcBorders>
              <w:bottom w:val="single" w:sz="4" w:space="0" w:color="auto"/>
            </w:tcBorders>
            <w:vAlign w:val="center"/>
          </w:tcPr>
          <w:p w:rsidR="00B20665" w:rsidRPr="0012646A" w:rsidRDefault="0031456E" w:rsidP="003C4B36">
            <w:pPr>
              <w:spacing w:before="40" w:after="40"/>
              <w:jc w:val="center"/>
              <w:rPr>
                <w:rFonts w:cs="Arial"/>
                <w:sz w:val="22"/>
                <w:szCs w:val="22"/>
                <w:lang w:eastAsia="en-US"/>
              </w:rPr>
            </w:pPr>
          </w:p>
        </w:tc>
      </w:tr>
      <w:tr w:rsidR="009C1F4F" w:rsidTr="00D0678B">
        <w:tc>
          <w:tcPr>
            <w:tcW w:w="2551" w:type="dxa"/>
            <w:tcBorders>
              <w:bottom w:val="single" w:sz="4" w:space="0" w:color="auto"/>
            </w:tcBorders>
          </w:tcPr>
          <w:p w:rsidR="00B20665" w:rsidRPr="0012646A" w:rsidRDefault="00B85CD6" w:rsidP="003C4B36">
            <w:pPr>
              <w:tabs>
                <w:tab w:val="left" w:pos="284"/>
              </w:tabs>
              <w:spacing w:before="40" w:after="40"/>
              <w:rPr>
                <w:rFonts w:cs="Arial"/>
                <w:sz w:val="22"/>
                <w:szCs w:val="22"/>
                <w:lang w:eastAsia="en-US"/>
              </w:rPr>
            </w:pPr>
            <w:r w:rsidRPr="0012646A">
              <w:rPr>
                <w:rFonts w:cs="Arial"/>
                <w:sz w:val="22"/>
                <w:szCs w:val="22"/>
                <w:lang w:eastAsia="en-US"/>
              </w:rPr>
              <w:t>Business processes</w:t>
            </w:r>
          </w:p>
        </w:tc>
        <w:tc>
          <w:tcPr>
            <w:tcW w:w="993"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9</w:t>
            </w:r>
          </w:p>
        </w:tc>
        <w:tc>
          <w:tcPr>
            <w:tcW w:w="1417"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7</w:t>
            </w:r>
          </w:p>
        </w:tc>
        <w:tc>
          <w:tcPr>
            <w:tcW w:w="1276"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w:t>
            </w:r>
          </w:p>
        </w:tc>
        <w:tc>
          <w:tcPr>
            <w:tcW w:w="992" w:type="dxa"/>
            <w:tcBorders>
              <w:bottom w:val="single" w:sz="4" w:space="0" w:color="auto"/>
            </w:tcBorders>
            <w:vAlign w:val="center"/>
          </w:tcPr>
          <w:p w:rsidR="00B20665" w:rsidRPr="0012646A" w:rsidRDefault="00B85CD6" w:rsidP="003C4B36">
            <w:pPr>
              <w:spacing w:before="40" w:after="40"/>
              <w:jc w:val="center"/>
              <w:rPr>
                <w:rFonts w:cs="Arial"/>
                <w:sz w:val="22"/>
                <w:szCs w:val="22"/>
                <w:lang w:eastAsia="en-US"/>
              </w:rPr>
            </w:pPr>
            <w:r>
              <w:rPr>
                <w:rFonts w:cs="Arial"/>
                <w:sz w:val="22"/>
                <w:szCs w:val="22"/>
                <w:lang w:eastAsia="en-US"/>
              </w:rPr>
              <w:t>1</w:t>
            </w:r>
          </w:p>
        </w:tc>
        <w:tc>
          <w:tcPr>
            <w:tcW w:w="709" w:type="dxa"/>
            <w:tcBorders>
              <w:bottom w:val="single" w:sz="4" w:space="0" w:color="auto"/>
            </w:tcBorders>
            <w:vAlign w:val="center"/>
          </w:tcPr>
          <w:p w:rsidR="00B20665" w:rsidRPr="0012646A" w:rsidRDefault="0031456E" w:rsidP="003C4B36">
            <w:pPr>
              <w:spacing w:before="40" w:after="40"/>
              <w:jc w:val="center"/>
              <w:rPr>
                <w:rFonts w:cs="Arial"/>
                <w:sz w:val="22"/>
                <w:szCs w:val="22"/>
                <w:lang w:eastAsia="en-US"/>
              </w:rPr>
            </w:pPr>
          </w:p>
        </w:tc>
      </w:tr>
      <w:tr w:rsidR="009C1F4F" w:rsidTr="00D0678B">
        <w:tc>
          <w:tcPr>
            <w:tcW w:w="2551" w:type="dxa"/>
            <w:vMerge w:val="restart"/>
          </w:tcPr>
          <w:p w:rsidR="00B20665" w:rsidRPr="0012646A" w:rsidRDefault="00B85CD6" w:rsidP="003C4B36">
            <w:pPr>
              <w:tabs>
                <w:tab w:val="left" w:pos="284"/>
              </w:tabs>
              <w:spacing w:before="40" w:after="40"/>
              <w:rPr>
                <w:rFonts w:cs="Arial"/>
                <w:b/>
                <w:sz w:val="22"/>
                <w:szCs w:val="22"/>
                <w:lang w:eastAsia="en-US"/>
              </w:rPr>
            </w:pPr>
            <w:r>
              <w:rPr>
                <w:rFonts w:cs="Arial"/>
                <w:b/>
                <w:sz w:val="22"/>
                <w:szCs w:val="22"/>
                <w:lang w:eastAsia="en-US"/>
              </w:rPr>
              <w:t>2019/20</w:t>
            </w:r>
          </w:p>
        </w:tc>
        <w:tc>
          <w:tcPr>
            <w:tcW w:w="993" w:type="dxa"/>
          </w:tcPr>
          <w:p w:rsidR="00B20665" w:rsidRPr="0012646A" w:rsidRDefault="00B85CD6" w:rsidP="003C4B36">
            <w:pPr>
              <w:spacing w:before="40" w:after="40"/>
              <w:jc w:val="center"/>
              <w:rPr>
                <w:rFonts w:cs="Arial"/>
                <w:b/>
                <w:sz w:val="22"/>
                <w:szCs w:val="22"/>
                <w:lang w:eastAsia="en-US"/>
              </w:rPr>
            </w:pPr>
            <w:r>
              <w:rPr>
                <w:rFonts w:cs="Arial"/>
                <w:b/>
                <w:sz w:val="22"/>
                <w:szCs w:val="22"/>
                <w:lang w:eastAsia="en-US"/>
              </w:rPr>
              <w:t>55</w:t>
            </w:r>
          </w:p>
        </w:tc>
        <w:tc>
          <w:tcPr>
            <w:tcW w:w="1417" w:type="dxa"/>
          </w:tcPr>
          <w:p w:rsidR="00B20665" w:rsidRPr="0012646A" w:rsidRDefault="00B85CD6" w:rsidP="003C4B36">
            <w:pPr>
              <w:spacing w:before="40" w:after="40"/>
              <w:jc w:val="center"/>
              <w:rPr>
                <w:rFonts w:cs="Arial"/>
                <w:b/>
                <w:bCs/>
                <w:sz w:val="22"/>
                <w:szCs w:val="22"/>
                <w:lang w:eastAsia="en-US"/>
              </w:rPr>
            </w:pPr>
            <w:r>
              <w:rPr>
                <w:rFonts w:cs="Arial"/>
                <w:b/>
                <w:bCs/>
                <w:sz w:val="22"/>
                <w:szCs w:val="22"/>
                <w:lang w:eastAsia="en-US"/>
              </w:rPr>
              <w:t>20</w:t>
            </w:r>
          </w:p>
        </w:tc>
        <w:tc>
          <w:tcPr>
            <w:tcW w:w="1276" w:type="dxa"/>
          </w:tcPr>
          <w:p w:rsidR="00B20665" w:rsidRPr="0012646A" w:rsidRDefault="00B85CD6" w:rsidP="003C4B36">
            <w:pPr>
              <w:spacing w:before="40" w:after="40"/>
              <w:jc w:val="center"/>
              <w:rPr>
                <w:rFonts w:cs="Arial"/>
                <w:b/>
                <w:bCs/>
                <w:sz w:val="22"/>
                <w:szCs w:val="22"/>
                <w:lang w:eastAsia="en-US"/>
              </w:rPr>
            </w:pPr>
            <w:r>
              <w:rPr>
                <w:rFonts w:cs="Arial"/>
                <w:b/>
                <w:bCs/>
                <w:sz w:val="22"/>
                <w:szCs w:val="22"/>
                <w:lang w:eastAsia="en-US"/>
              </w:rPr>
              <w:t>21</w:t>
            </w:r>
          </w:p>
        </w:tc>
        <w:tc>
          <w:tcPr>
            <w:tcW w:w="992" w:type="dxa"/>
          </w:tcPr>
          <w:p w:rsidR="00B20665" w:rsidRPr="0012646A" w:rsidRDefault="00B85CD6" w:rsidP="003C4B36">
            <w:pPr>
              <w:spacing w:before="40" w:after="40"/>
              <w:jc w:val="center"/>
              <w:rPr>
                <w:rFonts w:cs="Arial"/>
                <w:b/>
                <w:bCs/>
                <w:sz w:val="22"/>
                <w:szCs w:val="22"/>
                <w:lang w:eastAsia="en-US"/>
              </w:rPr>
            </w:pPr>
            <w:r>
              <w:rPr>
                <w:rFonts w:cs="Arial"/>
                <w:b/>
                <w:bCs/>
                <w:sz w:val="22"/>
                <w:szCs w:val="22"/>
                <w:lang w:eastAsia="en-US"/>
              </w:rPr>
              <w:t>1</w:t>
            </w:r>
            <w:r w:rsidR="0031456E">
              <w:rPr>
                <w:rFonts w:cs="Arial"/>
                <w:b/>
                <w:bCs/>
                <w:sz w:val="22"/>
                <w:szCs w:val="22"/>
                <w:lang w:eastAsia="en-US"/>
              </w:rPr>
              <w:t>4</w:t>
            </w:r>
            <w:bookmarkStart w:id="4" w:name="_GoBack"/>
            <w:bookmarkEnd w:id="4"/>
          </w:p>
        </w:tc>
        <w:tc>
          <w:tcPr>
            <w:tcW w:w="709" w:type="dxa"/>
          </w:tcPr>
          <w:p w:rsidR="00B20665" w:rsidRPr="0012646A" w:rsidRDefault="00B85CD6" w:rsidP="003C4B36">
            <w:pPr>
              <w:spacing w:before="40" w:after="40"/>
              <w:jc w:val="center"/>
              <w:rPr>
                <w:rFonts w:cs="Arial"/>
                <w:b/>
                <w:bCs/>
                <w:sz w:val="22"/>
                <w:szCs w:val="22"/>
                <w:lang w:eastAsia="en-US"/>
              </w:rPr>
            </w:pPr>
            <w:r w:rsidRPr="0012646A">
              <w:rPr>
                <w:rFonts w:cs="Arial"/>
                <w:b/>
                <w:bCs/>
                <w:sz w:val="22"/>
                <w:szCs w:val="22"/>
                <w:lang w:eastAsia="en-US"/>
              </w:rPr>
              <w:t>-</w:t>
            </w:r>
          </w:p>
        </w:tc>
      </w:tr>
      <w:tr w:rsidR="009C1F4F" w:rsidTr="007C37C2">
        <w:tc>
          <w:tcPr>
            <w:tcW w:w="2551" w:type="dxa"/>
            <w:vMerge/>
            <w:tcBorders>
              <w:bottom w:val="double" w:sz="4" w:space="0" w:color="auto"/>
            </w:tcBorders>
          </w:tcPr>
          <w:p w:rsidR="00B20665" w:rsidRPr="0012646A" w:rsidRDefault="0031456E" w:rsidP="003C4B36">
            <w:pPr>
              <w:tabs>
                <w:tab w:val="left" w:pos="284"/>
              </w:tabs>
              <w:spacing w:before="40" w:after="40"/>
              <w:rPr>
                <w:rFonts w:cs="Arial"/>
                <w:b/>
                <w:sz w:val="22"/>
                <w:szCs w:val="22"/>
                <w:lang w:eastAsia="en-US"/>
              </w:rPr>
            </w:pPr>
          </w:p>
        </w:tc>
        <w:tc>
          <w:tcPr>
            <w:tcW w:w="993" w:type="dxa"/>
            <w:tcBorders>
              <w:bottom w:val="double" w:sz="4" w:space="0" w:color="auto"/>
            </w:tcBorders>
            <w:vAlign w:val="center"/>
          </w:tcPr>
          <w:p w:rsidR="00B20665" w:rsidRPr="0012646A" w:rsidRDefault="00B85CD6" w:rsidP="003C4B36">
            <w:pPr>
              <w:spacing w:before="40" w:after="40"/>
              <w:jc w:val="center"/>
              <w:rPr>
                <w:rFonts w:cs="Arial"/>
                <w:b/>
                <w:sz w:val="22"/>
                <w:szCs w:val="22"/>
                <w:lang w:eastAsia="en-US"/>
              </w:rPr>
            </w:pPr>
            <w:r w:rsidRPr="0012646A">
              <w:rPr>
                <w:rFonts w:cs="Arial"/>
                <w:sz w:val="22"/>
                <w:szCs w:val="22"/>
                <w:lang w:eastAsia="en-US"/>
              </w:rPr>
              <w:t>100%</w:t>
            </w:r>
          </w:p>
        </w:tc>
        <w:tc>
          <w:tcPr>
            <w:tcW w:w="1417" w:type="dxa"/>
            <w:tcBorders>
              <w:bottom w:val="double" w:sz="4" w:space="0" w:color="auto"/>
            </w:tcBorders>
            <w:vAlign w:val="center"/>
          </w:tcPr>
          <w:p w:rsidR="00B20665" w:rsidRPr="0012646A" w:rsidRDefault="00B85CD6" w:rsidP="003C4B36">
            <w:pPr>
              <w:spacing w:before="40" w:after="40"/>
              <w:jc w:val="center"/>
              <w:rPr>
                <w:rFonts w:cs="Arial"/>
                <w:bCs/>
                <w:sz w:val="22"/>
                <w:szCs w:val="22"/>
                <w:lang w:eastAsia="en-US"/>
              </w:rPr>
            </w:pPr>
            <w:r>
              <w:rPr>
                <w:rFonts w:cs="Arial"/>
                <w:bCs/>
                <w:sz w:val="22"/>
                <w:szCs w:val="22"/>
                <w:lang w:eastAsia="en-US"/>
              </w:rPr>
              <w:t>36</w:t>
            </w:r>
            <w:r w:rsidRPr="0012646A">
              <w:rPr>
                <w:rFonts w:cs="Arial"/>
                <w:bCs/>
                <w:sz w:val="22"/>
                <w:szCs w:val="22"/>
                <w:lang w:eastAsia="en-US"/>
              </w:rPr>
              <w:t>%</w:t>
            </w:r>
          </w:p>
        </w:tc>
        <w:tc>
          <w:tcPr>
            <w:tcW w:w="1276" w:type="dxa"/>
            <w:tcBorders>
              <w:bottom w:val="double" w:sz="4" w:space="0" w:color="auto"/>
            </w:tcBorders>
            <w:vAlign w:val="center"/>
          </w:tcPr>
          <w:p w:rsidR="00B20665" w:rsidRPr="0012646A" w:rsidRDefault="00B85CD6" w:rsidP="003C4B36">
            <w:pPr>
              <w:spacing w:before="40" w:after="40"/>
              <w:jc w:val="center"/>
              <w:rPr>
                <w:rFonts w:cs="Arial"/>
                <w:bCs/>
                <w:sz w:val="22"/>
                <w:szCs w:val="22"/>
                <w:lang w:eastAsia="en-US"/>
              </w:rPr>
            </w:pPr>
            <w:r>
              <w:rPr>
                <w:rFonts w:cs="Arial"/>
                <w:bCs/>
                <w:sz w:val="22"/>
                <w:szCs w:val="22"/>
                <w:lang w:eastAsia="en-US"/>
              </w:rPr>
              <w:t>39</w:t>
            </w:r>
            <w:r w:rsidRPr="0012646A">
              <w:rPr>
                <w:rFonts w:cs="Arial"/>
                <w:bCs/>
                <w:sz w:val="22"/>
                <w:szCs w:val="22"/>
                <w:lang w:eastAsia="en-US"/>
              </w:rPr>
              <w:t>%</w:t>
            </w:r>
          </w:p>
        </w:tc>
        <w:tc>
          <w:tcPr>
            <w:tcW w:w="992" w:type="dxa"/>
            <w:tcBorders>
              <w:bottom w:val="double" w:sz="4" w:space="0" w:color="auto"/>
            </w:tcBorders>
            <w:vAlign w:val="center"/>
          </w:tcPr>
          <w:p w:rsidR="00B20665" w:rsidRPr="0012646A" w:rsidRDefault="00B85CD6" w:rsidP="003C4B36">
            <w:pPr>
              <w:spacing w:before="40" w:after="40"/>
              <w:jc w:val="center"/>
              <w:rPr>
                <w:rFonts w:cs="Arial"/>
                <w:bCs/>
                <w:sz w:val="22"/>
                <w:szCs w:val="22"/>
                <w:lang w:eastAsia="en-US"/>
              </w:rPr>
            </w:pPr>
            <w:r>
              <w:rPr>
                <w:rFonts w:cs="Arial"/>
                <w:bCs/>
                <w:sz w:val="22"/>
                <w:szCs w:val="22"/>
                <w:lang w:eastAsia="en-US"/>
              </w:rPr>
              <w:t>25</w:t>
            </w:r>
            <w:r w:rsidRPr="0012646A">
              <w:rPr>
                <w:rFonts w:cs="Arial"/>
                <w:bCs/>
                <w:sz w:val="22"/>
                <w:szCs w:val="22"/>
                <w:lang w:eastAsia="en-US"/>
              </w:rPr>
              <w:t>%</w:t>
            </w:r>
          </w:p>
        </w:tc>
        <w:tc>
          <w:tcPr>
            <w:tcW w:w="709" w:type="dxa"/>
            <w:tcBorders>
              <w:bottom w:val="double" w:sz="4" w:space="0" w:color="auto"/>
            </w:tcBorders>
            <w:vAlign w:val="center"/>
          </w:tcPr>
          <w:p w:rsidR="00B20665" w:rsidRPr="0012646A" w:rsidRDefault="00B85CD6" w:rsidP="003C4B36">
            <w:pPr>
              <w:spacing w:before="40" w:after="40"/>
              <w:jc w:val="center"/>
              <w:rPr>
                <w:rFonts w:cs="Arial"/>
                <w:bCs/>
                <w:sz w:val="22"/>
                <w:szCs w:val="22"/>
                <w:lang w:eastAsia="en-US"/>
              </w:rPr>
            </w:pPr>
            <w:r w:rsidRPr="0012646A">
              <w:rPr>
                <w:rFonts w:cs="Arial"/>
                <w:bCs/>
                <w:sz w:val="22"/>
                <w:szCs w:val="22"/>
                <w:lang w:eastAsia="en-US"/>
              </w:rPr>
              <w:t>-</w:t>
            </w:r>
          </w:p>
        </w:tc>
      </w:tr>
    </w:tbl>
    <w:tbl>
      <w:tblPr>
        <w:tblStyle w:val="TableGrid"/>
        <w:tblW w:w="7938" w:type="dxa"/>
        <w:tblInd w:w="846" w:type="dxa"/>
        <w:tblLayout w:type="fixed"/>
        <w:tblLook w:val="04A0" w:firstRow="1" w:lastRow="0" w:firstColumn="1" w:lastColumn="0" w:noHBand="0" w:noVBand="1"/>
      </w:tblPr>
      <w:tblGrid>
        <w:gridCol w:w="2551"/>
        <w:gridCol w:w="993"/>
        <w:gridCol w:w="1417"/>
        <w:gridCol w:w="1276"/>
        <w:gridCol w:w="992"/>
        <w:gridCol w:w="709"/>
      </w:tblGrid>
      <w:tr w:rsidR="009C1F4F" w:rsidTr="007C37C2">
        <w:tc>
          <w:tcPr>
            <w:tcW w:w="2551" w:type="dxa"/>
            <w:tcBorders>
              <w:top w:val="double" w:sz="4" w:space="0" w:color="auto"/>
              <w:bottom w:val="nil"/>
            </w:tcBorders>
          </w:tcPr>
          <w:p w:rsidR="007C37C2" w:rsidRPr="007C37C2" w:rsidRDefault="00B85CD6" w:rsidP="000D3EBE">
            <w:pPr>
              <w:tabs>
                <w:tab w:val="left" w:pos="284"/>
              </w:tabs>
              <w:spacing w:before="40" w:after="40" w:line="240" w:lineRule="auto"/>
              <w:rPr>
                <w:rFonts w:cs="Arial"/>
                <w:sz w:val="22"/>
                <w:szCs w:val="22"/>
              </w:rPr>
            </w:pPr>
            <w:r w:rsidRPr="007C37C2">
              <w:rPr>
                <w:rFonts w:cs="Arial"/>
                <w:sz w:val="22"/>
                <w:szCs w:val="22"/>
              </w:rPr>
              <w:t>2018/19</w:t>
            </w:r>
          </w:p>
        </w:tc>
        <w:tc>
          <w:tcPr>
            <w:tcW w:w="993"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sz w:val="22"/>
                <w:szCs w:val="22"/>
              </w:rPr>
            </w:pPr>
            <w:r w:rsidRPr="007C37C2">
              <w:rPr>
                <w:rFonts w:cs="Arial"/>
                <w:sz w:val="22"/>
                <w:szCs w:val="22"/>
              </w:rPr>
              <w:t>77</w:t>
            </w:r>
          </w:p>
        </w:tc>
        <w:tc>
          <w:tcPr>
            <w:tcW w:w="1417"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25</w:t>
            </w:r>
          </w:p>
        </w:tc>
        <w:tc>
          <w:tcPr>
            <w:tcW w:w="1276"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39</w:t>
            </w:r>
          </w:p>
        </w:tc>
        <w:tc>
          <w:tcPr>
            <w:tcW w:w="992"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13</w:t>
            </w:r>
          </w:p>
        </w:tc>
        <w:tc>
          <w:tcPr>
            <w:tcW w:w="709"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0</w:t>
            </w:r>
          </w:p>
        </w:tc>
      </w:tr>
      <w:tr w:rsidR="009C1F4F" w:rsidTr="007C37C2">
        <w:tc>
          <w:tcPr>
            <w:tcW w:w="2551" w:type="dxa"/>
            <w:tcBorders>
              <w:top w:val="nil"/>
              <w:bottom w:val="double" w:sz="4" w:space="0" w:color="auto"/>
            </w:tcBorders>
          </w:tcPr>
          <w:p w:rsidR="007C37C2" w:rsidRPr="007C37C2" w:rsidRDefault="0031456E" w:rsidP="000D3EBE">
            <w:pPr>
              <w:tabs>
                <w:tab w:val="left" w:pos="284"/>
              </w:tabs>
              <w:spacing w:before="40" w:after="40" w:line="240" w:lineRule="auto"/>
              <w:rPr>
                <w:rFonts w:cs="Arial"/>
                <w:sz w:val="22"/>
                <w:szCs w:val="22"/>
              </w:rPr>
            </w:pPr>
          </w:p>
        </w:tc>
        <w:tc>
          <w:tcPr>
            <w:tcW w:w="993" w:type="dxa"/>
            <w:tcBorders>
              <w:bottom w:val="double" w:sz="4" w:space="0" w:color="auto"/>
            </w:tcBorders>
            <w:vAlign w:val="center"/>
          </w:tcPr>
          <w:p w:rsidR="007C37C2" w:rsidRPr="007C37C2" w:rsidRDefault="00B85CD6" w:rsidP="000D3EBE">
            <w:pPr>
              <w:spacing w:before="40" w:after="40" w:line="240" w:lineRule="auto"/>
              <w:jc w:val="center"/>
              <w:rPr>
                <w:rFonts w:cs="Arial"/>
                <w:sz w:val="22"/>
                <w:szCs w:val="22"/>
              </w:rPr>
            </w:pPr>
            <w:r w:rsidRPr="007C37C2">
              <w:rPr>
                <w:rFonts w:cs="Arial"/>
                <w:sz w:val="22"/>
                <w:szCs w:val="22"/>
              </w:rPr>
              <w:t>100%</w:t>
            </w:r>
          </w:p>
        </w:tc>
        <w:tc>
          <w:tcPr>
            <w:tcW w:w="1417" w:type="dxa"/>
            <w:tcBorders>
              <w:bottom w:val="doub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32%</w:t>
            </w:r>
          </w:p>
        </w:tc>
        <w:tc>
          <w:tcPr>
            <w:tcW w:w="1276" w:type="dxa"/>
            <w:tcBorders>
              <w:bottom w:val="doub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51%</w:t>
            </w:r>
          </w:p>
        </w:tc>
        <w:tc>
          <w:tcPr>
            <w:tcW w:w="992" w:type="dxa"/>
            <w:tcBorders>
              <w:bottom w:val="doub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17%</w:t>
            </w:r>
          </w:p>
        </w:tc>
        <w:tc>
          <w:tcPr>
            <w:tcW w:w="709" w:type="dxa"/>
            <w:tcBorders>
              <w:bottom w:val="doub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w:t>
            </w:r>
          </w:p>
        </w:tc>
      </w:tr>
      <w:tr w:rsidR="009C1F4F" w:rsidTr="007C37C2">
        <w:tc>
          <w:tcPr>
            <w:tcW w:w="2551" w:type="dxa"/>
            <w:vMerge w:val="restart"/>
            <w:tcBorders>
              <w:top w:val="double" w:sz="4" w:space="0" w:color="auto"/>
            </w:tcBorders>
          </w:tcPr>
          <w:p w:rsidR="007C37C2" w:rsidRPr="007C37C2" w:rsidRDefault="00B85CD6" w:rsidP="000D3EBE">
            <w:pPr>
              <w:tabs>
                <w:tab w:val="left" w:pos="284"/>
              </w:tabs>
              <w:spacing w:before="40" w:after="40" w:line="240" w:lineRule="auto"/>
              <w:rPr>
                <w:rFonts w:cs="Arial"/>
                <w:sz w:val="22"/>
                <w:szCs w:val="22"/>
              </w:rPr>
            </w:pPr>
            <w:r w:rsidRPr="007C37C2">
              <w:rPr>
                <w:rFonts w:cs="Arial"/>
                <w:sz w:val="22"/>
                <w:szCs w:val="22"/>
              </w:rPr>
              <w:t>2017/18</w:t>
            </w:r>
          </w:p>
        </w:tc>
        <w:tc>
          <w:tcPr>
            <w:tcW w:w="993"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sz w:val="22"/>
                <w:szCs w:val="22"/>
              </w:rPr>
            </w:pPr>
            <w:r w:rsidRPr="007C37C2">
              <w:rPr>
                <w:rFonts w:cs="Arial"/>
                <w:sz w:val="22"/>
                <w:szCs w:val="22"/>
              </w:rPr>
              <w:t>51</w:t>
            </w:r>
          </w:p>
        </w:tc>
        <w:tc>
          <w:tcPr>
            <w:tcW w:w="1417"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5</w:t>
            </w:r>
          </w:p>
        </w:tc>
        <w:tc>
          <w:tcPr>
            <w:tcW w:w="1276"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34</w:t>
            </w:r>
          </w:p>
        </w:tc>
        <w:tc>
          <w:tcPr>
            <w:tcW w:w="992"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12</w:t>
            </w:r>
          </w:p>
        </w:tc>
        <w:tc>
          <w:tcPr>
            <w:tcW w:w="709"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0</w:t>
            </w:r>
          </w:p>
        </w:tc>
      </w:tr>
      <w:tr w:rsidR="009C1F4F" w:rsidTr="007C37C2">
        <w:tc>
          <w:tcPr>
            <w:tcW w:w="2551" w:type="dxa"/>
            <w:vMerge/>
            <w:tcBorders>
              <w:bottom w:val="double" w:sz="4" w:space="0" w:color="auto"/>
            </w:tcBorders>
          </w:tcPr>
          <w:p w:rsidR="007C37C2" w:rsidRPr="007C37C2" w:rsidRDefault="0031456E" w:rsidP="000D3EBE">
            <w:pPr>
              <w:tabs>
                <w:tab w:val="left" w:pos="284"/>
              </w:tabs>
              <w:spacing w:before="40" w:after="40" w:line="240" w:lineRule="auto"/>
              <w:rPr>
                <w:rFonts w:cs="Arial"/>
                <w:sz w:val="22"/>
                <w:szCs w:val="22"/>
              </w:rPr>
            </w:pPr>
          </w:p>
        </w:tc>
        <w:tc>
          <w:tcPr>
            <w:tcW w:w="993" w:type="dxa"/>
            <w:tcBorders>
              <w:bottom w:val="double" w:sz="4" w:space="0" w:color="auto"/>
            </w:tcBorders>
            <w:vAlign w:val="center"/>
          </w:tcPr>
          <w:p w:rsidR="007C37C2" w:rsidRPr="007C37C2" w:rsidRDefault="00B85CD6" w:rsidP="000D3EBE">
            <w:pPr>
              <w:spacing w:before="40" w:after="40" w:line="240" w:lineRule="auto"/>
              <w:jc w:val="center"/>
              <w:rPr>
                <w:rFonts w:cs="Arial"/>
                <w:sz w:val="22"/>
                <w:szCs w:val="22"/>
              </w:rPr>
            </w:pPr>
            <w:r w:rsidRPr="007C37C2">
              <w:rPr>
                <w:rFonts w:cs="Arial"/>
                <w:sz w:val="22"/>
                <w:szCs w:val="22"/>
              </w:rPr>
              <w:t>100%</w:t>
            </w:r>
          </w:p>
        </w:tc>
        <w:tc>
          <w:tcPr>
            <w:tcW w:w="1417" w:type="dxa"/>
            <w:tcBorders>
              <w:bottom w:val="doub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10%</w:t>
            </w:r>
          </w:p>
        </w:tc>
        <w:tc>
          <w:tcPr>
            <w:tcW w:w="1276" w:type="dxa"/>
            <w:tcBorders>
              <w:bottom w:val="doub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67%</w:t>
            </w:r>
          </w:p>
        </w:tc>
        <w:tc>
          <w:tcPr>
            <w:tcW w:w="992" w:type="dxa"/>
            <w:tcBorders>
              <w:bottom w:val="doub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23%</w:t>
            </w:r>
          </w:p>
        </w:tc>
        <w:tc>
          <w:tcPr>
            <w:tcW w:w="709" w:type="dxa"/>
            <w:tcBorders>
              <w:bottom w:val="doub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w:t>
            </w:r>
          </w:p>
        </w:tc>
      </w:tr>
      <w:tr w:rsidR="009C1F4F" w:rsidTr="007C37C2">
        <w:tc>
          <w:tcPr>
            <w:tcW w:w="2551" w:type="dxa"/>
            <w:tcBorders>
              <w:top w:val="double" w:sz="4" w:space="0" w:color="auto"/>
              <w:bottom w:val="nil"/>
            </w:tcBorders>
          </w:tcPr>
          <w:p w:rsidR="007C37C2" w:rsidRPr="007C37C2" w:rsidRDefault="00B85CD6" w:rsidP="000D3EBE">
            <w:pPr>
              <w:tabs>
                <w:tab w:val="left" w:pos="284"/>
              </w:tabs>
              <w:spacing w:before="40" w:after="40" w:line="240" w:lineRule="auto"/>
              <w:rPr>
                <w:rFonts w:cs="Arial"/>
                <w:sz w:val="22"/>
                <w:szCs w:val="22"/>
              </w:rPr>
            </w:pPr>
            <w:r w:rsidRPr="007C37C2">
              <w:rPr>
                <w:rFonts w:cs="Arial"/>
                <w:sz w:val="22"/>
                <w:szCs w:val="22"/>
              </w:rPr>
              <w:t>2016/17</w:t>
            </w:r>
          </w:p>
        </w:tc>
        <w:tc>
          <w:tcPr>
            <w:tcW w:w="993"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sz w:val="22"/>
                <w:szCs w:val="22"/>
              </w:rPr>
            </w:pPr>
            <w:r w:rsidRPr="007C37C2">
              <w:rPr>
                <w:rFonts w:cs="Arial"/>
                <w:sz w:val="22"/>
                <w:szCs w:val="22"/>
              </w:rPr>
              <w:t>31</w:t>
            </w:r>
          </w:p>
        </w:tc>
        <w:tc>
          <w:tcPr>
            <w:tcW w:w="1417"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3</w:t>
            </w:r>
          </w:p>
        </w:tc>
        <w:tc>
          <w:tcPr>
            <w:tcW w:w="1276"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24</w:t>
            </w:r>
          </w:p>
        </w:tc>
        <w:tc>
          <w:tcPr>
            <w:tcW w:w="992"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4</w:t>
            </w:r>
          </w:p>
        </w:tc>
        <w:tc>
          <w:tcPr>
            <w:tcW w:w="709" w:type="dxa"/>
            <w:tcBorders>
              <w:top w:val="doub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0</w:t>
            </w:r>
          </w:p>
        </w:tc>
      </w:tr>
      <w:tr w:rsidR="009C1F4F" w:rsidTr="007C37C2">
        <w:tc>
          <w:tcPr>
            <w:tcW w:w="2551" w:type="dxa"/>
            <w:tcBorders>
              <w:top w:val="nil"/>
              <w:bottom w:val="single" w:sz="4" w:space="0" w:color="auto"/>
            </w:tcBorders>
          </w:tcPr>
          <w:p w:rsidR="007C37C2" w:rsidRPr="007C37C2" w:rsidRDefault="0031456E" w:rsidP="000D3EBE">
            <w:pPr>
              <w:tabs>
                <w:tab w:val="left" w:pos="284"/>
              </w:tabs>
              <w:spacing w:before="40" w:after="40" w:line="240" w:lineRule="auto"/>
              <w:rPr>
                <w:rFonts w:cs="Arial"/>
                <w:sz w:val="22"/>
                <w:szCs w:val="22"/>
              </w:rPr>
            </w:pPr>
          </w:p>
        </w:tc>
        <w:tc>
          <w:tcPr>
            <w:tcW w:w="993" w:type="dxa"/>
            <w:tcBorders>
              <w:top w:val="single" w:sz="4" w:space="0" w:color="auto"/>
              <w:bottom w:val="single" w:sz="4" w:space="0" w:color="auto"/>
            </w:tcBorders>
            <w:vAlign w:val="center"/>
          </w:tcPr>
          <w:p w:rsidR="007C37C2" w:rsidRPr="007C37C2" w:rsidRDefault="00B85CD6" w:rsidP="000D3EBE">
            <w:pPr>
              <w:spacing w:before="40" w:after="40" w:line="240" w:lineRule="auto"/>
              <w:jc w:val="center"/>
              <w:rPr>
                <w:rFonts w:cs="Arial"/>
                <w:sz w:val="22"/>
                <w:szCs w:val="22"/>
              </w:rPr>
            </w:pPr>
            <w:r w:rsidRPr="007C37C2">
              <w:rPr>
                <w:rFonts w:cs="Arial"/>
                <w:sz w:val="22"/>
                <w:szCs w:val="22"/>
              </w:rPr>
              <w:t>100%</w:t>
            </w:r>
          </w:p>
        </w:tc>
        <w:tc>
          <w:tcPr>
            <w:tcW w:w="1417" w:type="dxa"/>
            <w:tcBorders>
              <w:top w:val="sing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10%</w:t>
            </w:r>
          </w:p>
        </w:tc>
        <w:tc>
          <w:tcPr>
            <w:tcW w:w="1276" w:type="dxa"/>
            <w:tcBorders>
              <w:top w:val="sing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77%</w:t>
            </w:r>
          </w:p>
        </w:tc>
        <w:tc>
          <w:tcPr>
            <w:tcW w:w="992" w:type="dxa"/>
            <w:tcBorders>
              <w:top w:val="sing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13%</w:t>
            </w:r>
          </w:p>
        </w:tc>
        <w:tc>
          <w:tcPr>
            <w:tcW w:w="709" w:type="dxa"/>
            <w:tcBorders>
              <w:top w:val="single" w:sz="4" w:space="0" w:color="auto"/>
              <w:bottom w:val="single" w:sz="4" w:space="0" w:color="auto"/>
            </w:tcBorders>
            <w:vAlign w:val="center"/>
          </w:tcPr>
          <w:p w:rsidR="007C37C2" w:rsidRPr="007C37C2" w:rsidRDefault="00B85CD6" w:rsidP="000D3EBE">
            <w:pPr>
              <w:spacing w:before="40" w:after="40" w:line="240" w:lineRule="auto"/>
              <w:jc w:val="center"/>
              <w:rPr>
                <w:rFonts w:cs="Arial"/>
                <w:bCs/>
                <w:sz w:val="22"/>
                <w:szCs w:val="22"/>
              </w:rPr>
            </w:pPr>
            <w:r w:rsidRPr="007C37C2">
              <w:rPr>
                <w:rFonts w:cs="Arial"/>
                <w:bCs/>
                <w:sz w:val="22"/>
                <w:szCs w:val="22"/>
              </w:rPr>
              <w:t>-</w:t>
            </w:r>
          </w:p>
        </w:tc>
      </w:tr>
    </w:tbl>
    <w:p w:rsidR="00D74C79" w:rsidRPr="007E13D4" w:rsidRDefault="00B85CD6" w:rsidP="007E13D4">
      <w:pPr>
        <w:pStyle w:val="Rquotation"/>
      </w:pPr>
      <w:r w:rsidRPr="007E13D4">
        <w:t xml:space="preserve">* </w:t>
      </w:r>
      <w:r w:rsidRPr="000D3EBE">
        <w:rPr>
          <w:sz w:val="20"/>
          <w:szCs w:val="20"/>
        </w:rPr>
        <w:t>The categories of assurance were amended between 2017/18 and 2018/19 but, for comparison, full assurance has been equated to substantial assurance and</w:t>
      </w:r>
      <w:r>
        <w:rPr>
          <w:sz w:val="20"/>
          <w:szCs w:val="20"/>
        </w:rPr>
        <w:t>,</w:t>
      </w:r>
      <w:r w:rsidRPr="000D3EBE">
        <w:rPr>
          <w:sz w:val="20"/>
          <w:szCs w:val="20"/>
        </w:rPr>
        <w:t xml:space="preserve"> where substantial assurance was previously given, this has now been recorded as moderate.</w:t>
      </w:r>
    </w:p>
    <w:p w:rsidR="00462185" w:rsidRPr="0012646A" w:rsidRDefault="00B85CD6" w:rsidP="00462185">
      <w:pPr>
        <w:pStyle w:val="Heading3"/>
        <w:tabs>
          <w:tab w:val="left" w:pos="284"/>
        </w:tabs>
        <w:spacing w:after="120"/>
        <w:rPr>
          <w:rFonts w:ascii="Arial" w:hAnsi="Arial" w:cs="Arial"/>
        </w:rPr>
      </w:pPr>
      <w:r w:rsidRPr="0012646A">
        <w:rPr>
          <w:rFonts w:ascii="Arial" w:hAnsi="Arial" w:cs="Arial"/>
        </w:rPr>
        <w:lastRenderedPageBreak/>
        <w:t>Wider sources of assurance available to the county council</w:t>
      </w:r>
    </w:p>
    <w:p w:rsidR="003054E2" w:rsidRPr="00C61FFD" w:rsidRDefault="00B85CD6" w:rsidP="003054E2">
      <w:pPr>
        <w:numPr>
          <w:ilvl w:val="1"/>
          <w:numId w:val="1"/>
        </w:numPr>
        <w:spacing w:before="120" w:after="120"/>
        <w:rPr>
          <w:rFonts w:cs="Arial"/>
        </w:rPr>
      </w:pPr>
      <w:r w:rsidRPr="00C61FFD">
        <w:rPr>
          <w:rFonts w:cs="Arial"/>
        </w:rPr>
        <w:t xml:space="preserve">The reports provided by Ofsted during the year form important sources of external assurance and may be found on Ofsted's web-site here: </w:t>
      </w:r>
      <w:hyperlink r:id="rId9" w:history="1">
        <w:r w:rsidRPr="00C61FFD">
          <w:rPr>
            <w:rStyle w:val="Hyperlink"/>
            <w:rFonts w:cs="Arial"/>
          </w:rPr>
          <w:t>https://reports.ofsted.gov.uk/local-authorities/lancashire</w:t>
        </w:r>
      </w:hyperlink>
      <w:r w:rsidR="00F909F8">
        <w:rPr>
          <w:rStyle w:val="Hyperlink"/>
          <w:rFonts w:cs="Arial"/>
        </w:rPr>
        <w:t>.</w:t>
      </w:r>
      <w:r w:rsidRPr="00C61FFD">
        <w:rPr>
          <w:rStyle w:val="Hyperlink"/>
          <w:rFonts w:cs="Arial"/>
          <w:u w:val="none"/>
        </w:rPr>
        <w:t xml:space="preserve"> </w:t>
      </w:r>
      <w:r w:rsidRPr="006231A4">
        <w:t>Two reports address</w:t>
      </w:r>
      <w:r>
        <w:t xml:space="preserve"> Ofsted's work in 2019: the Children's Services inspection undertaken in June, and the Children's Service's focussed visit (on permanence) undertaken in November.</w:t>
      </w:r>
    </w:p>
    <w:p w:rsidR="00462185" w:rsidRPr="0012646A" w:rsidRDefault="00B85CD6" w:rsidP="00462185">
      <w:pPr>
        <w:numPr>
          <w:ilvl w:val="1"/>
          <w:numId w:val="1"/>
        </w:numPr>
        <w:spacing w:before="120" w:after="120"/>
        <w:rPr>
          <w:rFonts w:cs="Arial"/>
        </w:rPr>
      </w:pPr>
      <w:r w:rsidRPr="0012646A">
        <w:rPr>
          <w:rFonts w:cs="Arial"/>
        </w:rPr>
        <w:t>Some assurance has been taken from the</w:t>
      </w:r>
      <w:r>
        <w:rPr>
          <w:rFonts w:cs="Arial"/>
        </w:rPr>
        <w:t xml:space="preserve"> work undertaken by Deloitte</w:t>
      </w:r>
      <w:r w:rsidRPr="0012646A">
        <w:rPr>
          <w:rFonts w:cs="Arial"/>
        </w:rPr>
        <w:t xml:space="preserve"> over the operation of the Local Pensions Partnership</w:t>
      </w:r>
      <w:r>
        <w:rPr>
          <w:rFonts w:cs="Arial"/>
        </w:rPr>
        <w:t xml:space="preserve"> Ltd group</w:t>
      </w:r>
      <w:r w:rsidRPr="0012646A">
        <w:rPr>
          <w:rFonts w:cs="Arial"/>
        </w:rPr>
        <w:t xml:space="preserve">. The firm has </w:t>
      </w:r>
      <w:r w:rsidRPr="00192ED7">
        <w:rPr>
          <w:rFonts w:cs="Arial"/>
        </w:rPr>
        <w:t xml:space="preserve">completed four audits </w:t>
      </w:r>
      <w:r w:rsidRPr="0012646A">
        <w:rPr>
          <w:rFonts w:cs="Arial"/>
        </w:rPr>
        <w:t>of various aspects of the partnership's activities in accordance with the plan for t</w:t>
      </w:r>
      <w:r>
        <w:rPr>
          <w:rFonts w:cs="Arial"/>
        </w:rPr>
        <w:t xml:space="preserve">he year updated in February 2019, </w:t>
      </w:r>
      <w:r>
        <w:t>two of which relate to LPP's its work on administering the Fund or investing on its behalf.</w:t>
      </w:r>
    </w:p>
    <w:p w:rsidR="00462185" w:rsidRPr="005C5529" w:rsidRDefault="00B85CD6" w:rsidP="005C5529">
      <w:pPr>
        <w:pStyle w:val="Heading1"/>
        <w:numPr>
          <w:ilvl w:val="0"/>
          <w:numId w:val="1"/>
        </w:numPr>
        <w:spacing w:after="120"/>
        <w:rPr>
          <w:rFonts w:ascii="Arial" w:hAnsi="Arial" w:cs="Arial"/>
        </w:rPr>
      </w:pPr>
      <w:r w:rsidRPr="005C5529">
        <w:rPr>
          <w:rFonts w:ascii="Arial" w:hAnsi="Arial" w:cs="Arial"/>
        </w:rPr>
        <w:t>Management's responses to our findings</w:t>
      </w:r>
    </w:p>
    <w:p w:rsidR="00C61FFD" w:rsidRDefault="00B85CD6" w:rsidP="000C10FF">
      <w:pPr>
        <w:numPr>
          <w:ilvl w:val="1"/>
          <w:numId w:val="1"/>
        </w:numPr>
        <w:spacing w:before="120" w:after="120"/>
        <w:rPr>
          <w:rFonts w:cs="Arial"/>
        </w:rPr>
      </w:pPr>
      <w:r w:rsidRPr="00C61FFD">
        <w:rPr>
          <w:rFonts w:cs="Arial"/>
        </w:rPr>
        <w:t xml:space="preserve">Each of the issues raised by internal audit work would normally be discussed with the relevant service managers as well as with members of the council's Corporate Management Team, and action plans would normally be agreed. However management's strong focus on addressing the </w:t>
      </w:r>
      <w:r>
        <w:rPr>
          <w:rFonts w:cs="Arial"/>
        </w:rPr>
        <w:t xml:space="preserve">impact of Covid-19 on </w:t>
      </w:r>
      <w:r w:rsidRPr="00C61FFD">
        <w:rPr>
          <w:rFonts w:cs="Arial"/>
        </w:rPr>
        <w:t xml:space="preserve">Lancashire's communities has meant that work completed at the end of this year has </w:t>
      </w:r>
      <w:r>
        <w:rPr>
          <w:rFonts w:cs="Arial"/>
        </w:rPr>
        <w:t>not been subject to such discussion.</w:t>
      </w:r>
    </w:p>
    <w:p w:rsidR="00F36883" w:rsidRPr="00DD5B36" w:rsidRDefault="00B85CD6" w:rsidP="00F36883">
      <w:pPr>
        <w:numPr>
          <w:ilvl w:val="1"/>
          <w:numId w:val="1"/>
        </w:numPr>
        <w:spacing w:before="120" w:after="120"/>
        <w:rPr>
          <w:rFonts w:cs="Arial"/>
        </w:rPr>
      </w:pPr>
      <w:r>
        <w:rPr>
          <w:rFonts w:cs="Arial"/>
        </w:rPr>
        <w:t>Until the middle of March 2020 management's own assessment of the status of the actions arising from audit work was as follows,</w:t>
      </w:r>
      <w:r w:rsidRPr="005C5529">
        <w:t xml:space="preserve"> </w:t>
      </w:r>
      <w:r>
        <w:t>but no further information has been sought or provided since then</w:t>
      </w:r>
      <w:r>
        <w:rPr>
          <w:rFonts w:cs="Arial"/>
        </w:rPr>
        <w:t>.</w:t>
      </w:r>
    </w:p>
    <w:tbl>
      <w:tblPr>
        <w:tblStyle w:val="TableGrid"/>
        <w:tblW w:w="8223" w:type="dxa"/>
        <w:tblInd w:w="8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850"/>
        <w:gridCol w:w="851"/>
        <w:gridCol w:w="850"/>
        <w:gridCol w:w="1134"/>
        <w:gridCol w:w="709"/>
        <w:gridCol w:w="708"/>
        <w:gridCol w:w="853"/>
      </w:tblGrid>
      <w:tr w:rsidR="009C1F4F" w:rsidTr="007C6B90">
        <w:trPr>
          <w:trHeight w:val="343"/>
        </w:trPr>
        <w:tc>
          <w:tcPr>
            <w:tcW w:w="8223" w:type="dxa"/>
            <w:gridSpan w:val="9"/>
            <w:shd w:val="clear" w:color="auto" w:fill="D9D9D9" w:themeFill="background1" w:themeFillShade="D9"/>
          </w:tcPr>
          <w:p w:rsidR="00B91385" w:rsidRPr="003A3E48" w:rsidRDefault="00B85CD6" w:rsidP="003C4B36">
            <w:pPr>
              <w:pStyle w:val="Rquotation"/>
              <w:spacing w:before="40" w:after="40" w:line="240" w:lineRule="auto"/>
              <w:ind w:left="0"/>
              <w:rPr>
                <w:rFonts w:cs="Arial"/>
                <w:b/>
                <w:szCs w:val="24"/>
              </w:rPr>
            </w:pPr>
            <w:r>
              <w:rPr>
                <w:rFonts w:cs="Arial"/>
                <w:b/>
                <w:szCs w:val="24"/>
              </w:rPr>
              <w:t>A</w:t>
            </w:r>
            <w:r w:rsidRPr="003A3E48">
              <w:rPr>
                <w:rFonts w:cs="Arial"/>
                <w:b/>
                <w:szCs w:val="24"/>
              </w:rPr>
              <w:t xml:space="preserve">ctions agreed </w:t>
            </w:r>
            <w:r>
              <w:rPr>
                <w:rFonts w:cs="Arial"/>
                <w:b/>
                <w:szCs w:val="24"/>
              </w:rPr>
              <w:t>in</w:t>
            </w:r>
            <w:r w:rsidRPr="003A3E48">
              <w:rPr>
                <w:rFonts w:cs="Arial"/>
                <w:b/>
                <w:szCs w:val="24"/>
              </w:rPr>
              <w:t xml:space="preserve"> 2017/18, 2018/19 and 2019/20 </w:t>
            </w:r>
            <w:r>
              <w:rPr>
                <w:rFonts w:cs="Arial"/>
                <w:b/>
                <w:szCs w:val="24"/>
              </w:rPr>
              <w:t xml:space="preserve">and now </w:t>
            </w:r>
            <w:r w:rsidRPr="003A3E48">
              <w:rPr>
                <w:rFonts w:cs="Arial"/>
                <w:b/>
                <w:szCs w:val="24"/>
              </w:rPr>
              <w:t>due</w:t>
            </w:r>
          </w:p>
        </w:tc>
      </w:tr>
      <w:tr w:rsidR="009C1F4F" w:rsidTr="00E97985">
        <w:trPr>
          <w:trHeight w:val="343"/>
        </w:trPr>
        <w:tc>
          <w:tcPr>
            <w:tcW w:w="2268" w:type="dxa"/>
            <w:gridSpan w:val="2"/>
            <w:vMerge w:val="restart"/>
            <w:shd w:val="clear" w:color="auto" w:fill="D9D9D9" w:themeFill="background1" w:themeFillShade="D9"/>
          </w:tcPr>
          <w:p w:rsidR="00511F5C" w:rsidRPr="000030BA" w:rsidRDefault="00B85CD6" w:rsidP="003C4B36">
            <w:pPr>
              <w:pStyle w:val="Rquotation"/>
              <w:spacing w:before="40" w:after="40" w:line="240" w:lineRule="auto"/>
              <w:ind w:left="0"/>
              <w:rPr>
                <w:rFonts w:cs="Arial"/>
                <w:b/>
                <w:sz w:val="22"/>
              </w:rPr>
            </w:pPr>
            <w:r w:rsidRPr="000030BA">
              <w:rPr>
                <w:rFonts w:cs="Arial"/>
                <w:b/>
                <w:sz w:val="22"/>
              </w:rPr>
              <w:t>Action status</w:t>
            </w:r>
          </w:p>
          <w:p w:rsidR="00511F5C" w:rsidRPr="000030BA" w:rsidRDefault="0031456E" w:rsidP="003C4B36">
            <w:pPr>
              <w:pStyle w:val="Rquotation"/>
              <w:spacing w:before="40" w:after="40" w:line="240" w:lineRule="auto"/>
              <w:ind w:left="0"/>
              <w:rPr>
                <w:rFonts w:cs="Arial"/>
                <w:b/>
                <w:sz w:val="22"/>
              </w:rPr>
            </w:pPr>
          </w:p>
          <w:p w:rsidR="00511F5C" w:rsidRPr="000030BA" w:rsidRDefault="0031456E" w:rsidP="003C4B36">
            <w:pPr>
              <w:pStyle w:val="Rquotation"/>
              <w:spacing w:before="40" w:after="40" w:line="240" w:lineRule="auto"/>
              <w:ind w:left="0"/>
              <w:rPr>
                <w:rFonts w:cs="Arial"/>
                <w:b/>
                <w:sz w:val="22"/>
              </w:rPr>
            </w:pPr>
          </w:p>
        </w:tc>
        <w:tc>
          <w:tcPr>
            <w:tcW w:w="4394" w:type="dxa"/>
            <w:gridSpan w:val="5"/>
            <w:shd w:val="clear" w:color="auto" w:fill="D9D9D9" w:themeFill="background1" w:themeFillShade="D9"/>
          </w:tcPr>
          <w:p w:rsidR="00511F5C" w:rsidRPr="000030BA" w:rsidRDefault="00B85CD6" w:rsidP="003C4B36">
            <w:pPr>
              <w:pStyle w:val="Rquotation"/>
              <w:spacing w:before="40" w:after="40" w:line="240" w:lineRule="auto"/>
              <w:ind w:left="0"/>
              <w:rPr>
                <w:rFonts w:cs="Arial"/>
                <w:b/>
                <w:sz w:val="22"/>
              </w:rPr>
            </w:pPr>
            <w:r w:rsidRPr="000030BA">
              <w:rPr>
                <w:rFonts w:cs="Arial"/>
                <w:b/>
                <w:sz w:val="22"/>
              </w:rPr>
              <w:t xml:space="preserve">As at </w:t>
            </w:r>
            <w:r>
              <w:rPr>
                <w:rFonts w:cs="Arial"/>
                <w:b/>
                <w:sz w:val="22"/>
              </w:rPr>
              <w:t>March</w:t>
            </w:r>
            <w:r w:rsidRPr="000030BA">
              <w:rPr>
                <w:rFonts w:cs="Arial"/>
                <w:b/>
                <w:sz w:val="22"/>
              </w:rPr>
              <w:t xml:space="preserve"> 20</w:t>
            </w:r>
            <w:r>
              <w:rPr>
                <w:rFonts w:cs="Arial"/>
                <w:b/>
                <w:sz w:val="22"/>
              </w:rPr>
              <w:t>20</w:t>
            </w:r>
          </w:p>
        </w:tc>
        <w:tc>
          <w:tcPr>
            <w:tcW w:w="1561" w:type="dxa"/>
            <w:gridSpan w:val="2"/>
            <w:shd w:val="clear" w:color="auto" w:fill="D9D9D9" w:themeFill="background1" w:themeFillShade="D9"/>
          </w:tcPr>
          <w:p w:rsidR="00511F5C" w:rsidRPr="000030BA" w:rsidRDefault="00B85CD6" w:rsidP="003C4B36">
            <w:pPr>
              <w:pStyle w:val="Rquotation"/>
              <w:spacing w:before="40" w:after="40" w:line="240" w:lineRule="auto"/>
              <w:ind w:left="0"/>
              <w:rPr>
                <w:rFonts w:cs="Arial"/>
                <w:b/>
                <w:sz w:val="22"/>
              </w:rPr>
            </w:pPr>
            <w:r>
              <w:rPr>
                <w:rFonts w:cs="Arial"/>
                <w:b/>
                <w:sz w:val="22"/>
              </w:rPr>
              <w:t>March 2019</w:t>
            </w:r>
          </w:p>
        </w:tc>
      </w:tr>
      <w:tr w:rsidR="009C1F4F" w:rsidTr="00E97985">
        <w:trPr>
          <w:trHeight w:val="207"/>
        </w:trPr>
        <w:tc>
          <w:tcPr>
            <w:tcW w:w="2268" w:type="dxa"/>
            <w:gridSpan w:val="2"/>
            <w:vMerge/>
            <w:shd w:val="clear" w:color="auto" w:fill="D9D9D9" w:themeFill="background1" w:themeFillShade="D9"/>
          </w:tcPr>
          <w:p w:rsidR="00511F5C" w:rsidRPr="000030BA" w:rsidRDefault="0031456E" w:rsidP="003C4B36">
            <w:pPr>
              <w:pStyle w:val="Rquotation"/>
              <w:spacing w:before="40" w:after="40" w:line="240" w:lineRule="auto"/>
              <w:ind w:left="0"/>
              <w:rPr>
                <w:rFonts w:cs="Arial"/>
                <w:b/>
                <w:sz w:val="22"/>
              </w:rPr>
            </w:pPr>
          </w:p>
        </w:tc>
        <w:tc>
          <w:tcPr>
            <w:tcW w:w="1701" w:type="dxa"/>
            <w:gridSpan w:val="2"/>
            <w:vMerge w:val="restart"/>
            <w:shd w:val="clear" w:color="auto" w:fill="D9D9D9" w:themeFill="background1" w:themeFillShade="D9"/>
          </w:tcPr>
          <w:p w:rsidR="00511F5C" w:rsidRPr="000030BA" w:rsidRDefault="0031456E" w:rsidP="003C4B36">
            <w:pPr>
              <w:pStyle w:val="Rquotation"/>
              <w:spacing w:before="40" w:after="40" w:line="240" w:lineRule="auto"/>
              <w:ind w:left="0"/>
              <w:rPr>
                <w:rFonts w:cs="Arial"/>
                <w:b/>
                <w:sz w:val="22"/>
              </w:rPr>
            </w:pPr>
          </w:p>
          <w:p w:rsidR="00511F5C" w:rsidRPr="000030BA" w:rsidRDefault="00B85CD6" w:rsidP="003C4B36">
            <w:pPr>
              <w:pStyle w:val="Rquotation"/>
              <w:spacing w:before="40" w:after="40" w:line="240" w:lineRule="auto"/>
              <w:ind w:left="0"/>
              <w:rPr>
                <w:rFonts w:cs="Arial"/>
                <w:b/>
                <w:sz w:val="22"/>
              </w:rPr>
            </w:pPr>
            <w:r w:rsidRPr="000030BA">
              <w:rPr>
                <w:rFonts w:cs="Arial"/>
                <w:b/>
                <w:sz w:val="22"/>
              </w:rPr>
              <w:t>Total</w:t>
            </w:r>
          </w:p>
        </w:tc>
        <w:tc>
          <w:tcPr>
            <w:tcW w:w="2693" w:type="dxa"/>
            <w:gridSpan w:val="3"/>
          </w:tcPr>
          <w:p w:rsidR="00511F5C" w:rsidRPr="000030BA" w:rsidRDefault="00B85CD6" w:rsidP="003C4B36">
            <w:pPr>
              <w:pStyle w:val="Rquotation"/>
              <w:spacing w:before="40" w:after="40" w:line="240" w:lineRule="auto"/>
              <w:ind w:left="0"/>
              <w:rPr>
                <w:rFonts w:cs="Arial"/>
                <w:b/>
                <w:sz w:val="22"/>
              </w:rPr>
            </w:pPr>
            <w:r w:rsidRPr="000030BA">
              <w:rPr>
                <w:rFonts w:cs="Arial"/>
                <w:b/>
                <w:sz w:val="22"/>
              </w:rPr>
              <w:t>Risk rating</w:t>
            </w:r>
          </w:p>
        </w:tc>
        <w:tc>
          <w:tcPr>
            <w:tcW w:w="1561" w:type="dxa"/>
            <w:gridSpan w:val="2"/>
            <w:vMerge w:val="restart"/>
            <w:shd w:val="clear" w:color="auto" w:fill="D9D9D9" w:themeFill="background1" w:themeFillShade="D9"/>
          </w:tcPr>
          <w:p w:rsidR="00511F5C" w:rsidRDefault="0031456E" w:rsidP="003C4B36">
            <w:pPr>
              <w:pStyle w:val="Rquotation"/>
              <w:spacing w:before="40" w:after="40" w:line="240" w:lineRule="auto"/>
              <w:ind w:left="0"/>
              <w:rPr>
                <w:rFonts w:cs="Arial"/>
                <w:b/>
                <w:sz w:val="22"/>
              </w:rPr>
            </w:pPr>
          </w:p>
          <w:p w:rsidR="00511F5C" w:rsidRPr="000030BA" w:rsidRDefault="00B85CD6" w:rsidP="003C4B36">
            <w:pPr>
              <w:pStyle w:val="Rquotation"/>
              <w:spacing w:before="40" w:after="40" w:line="240" w:lineRule="auto"/>
              <w:ind w:left="0"/>
              <w:rPr>
                <w:rFonts w:cs="Arial"/>
                <w:b/>
                <w:sz w:val="22"/>
              </w:rPr>
            </w:pPr>
            <w:r>
              <w:rPr>
                <w:rFonts w:cs="Arial"/>
                <w:b/>
                <w:sz w:val="22"/>
              </w:rPr>
              <w:t>Total</w:t>
            </w:r>
          </w:p>
        </w:tc>
      </w:tr>
      <w:tr w:rsidR="009C1F4F" w:rsidTr="00E97985">
        <w:trPr>
          <w:trHeight w:val="48"/>
        </w:trPr>
        <w:tc>
          <w:tcPr>
            <w:tcW w:w="2268" w:type="dxa"/>
            <w:gridSpan w:val="2"/>
            <w:vMerge/>
            <w:shd w:val="clear" w:color="auto" w:fill="D9D9D9" w:themeFill="background1" w:themeFillShade="D9"/>
          </w:tcPr>
          <w:p w:rsidR="00511F5C" w:rsidRPr="000030BA" w:rsidRDefault="0031456E" w:rsidP="003C4B36">
            <w:pPr>
              <w:pStyle w:val="Rquotation"/>
              <w:spacing w:before="40" w:after="40" w:line="240" w:lineRule="auto"/>
              <w:ind w:left="0"/>
              <w:rPr>
                <w:rFonts w:cs="Arial"/>
                <w:sz w:val="22"/>
              </w:rPr>
            </w:pPr>
          </w:p>
        </w:tc>
        <w:tc>
          <w:tcPr>
            <w:tcW w:w="1701" w:type="dxa"/>
            <w:gridSpan w:val="2"/>
            <w:vMerge/>
            <w:shd w:val="clear" w:color="auto" w:fill="D9D9D9" w:themeFill="background1" w:themeFillShade="D9"/>
          </w:tcPr>
          <w:p w:rsidR="00511F5C" w:rsidRPr="000030BA" w:rsidRDefault="0031456E" w:rsidP="003C4B36">
            <w:pPr>
              <w:pStyle w:val="Rquotation"/>
              <w:spacing w:before="40" w:after="40" w:line="240" w:lineRule="auto"/>
              <w:ind w:left="0"/>
              <w:rPr>
                <w:rFonts w:cs="Arial"/>
                <w:sz w:val="22"/>
              </w:rPr>
            </w:pPr>
          </w:p>
        </w:tc>
        <w:tc>
          <w:tcPr>
            <w:tcW w:w="850" w:type="dxa"/>
          </w:tcPr>
          <w:p w:rsidR="00511F5C" w:rsidRPr="000030BA" w:rsidRDefault="00B85CD6" w:rsidP="003C4B36">
            <w:pPr>
              <w:pStyle w:val="Rquotation"/>
              <w:spacing w:before="40" w:after="40" w:line="240" w:lineRule="auto"/>
              <w:ind w:left="0"/>
              <w:rPr>
                <w:rFonts w:cs="Arial"/>
                <w:b/>
                <w:sz w:val="22"/>
              </w:rPr>
            </w:pPr>
            <w:r w:rsidRPr="000030BA">
              <w:rPr>
                <w:rFonts w:cs="Arial"/>
                <w:b/>
                <w:sz w:val="22"/>
              </w:rPr>
              <w:t>High</w:t>
            </w:r>
          </w:p>
        </w:tc>
        <w:tc>
          <w:tcPr>
            <w:tcW w:w="1134" w:type="dxa"/>
          </w:tcPr>
          <w:p w:rsidR="00511F5C" w:rsidRPr="000030BA" w:rsidRDefault="00B85CD6" w:rsidP="003C4B36">
            <w:pPr>
              <w:pStyle w:val="Rquotation"/>
              <w:spacing w:before="40" w:after="40" w:line="240" w:lineRule="auto"/>
              <w:ind w:left="0"/>
              <w:rPr>
                <w:rFonts w:cs="Arial"/>
                <w:b/>
                <w:sz w:val="22"/>
              </w:rPr>
            </w:pPr>
            <w:r w:rsidRPr="000030BA">
              <w:rPr>
                <w:rFonts w:cs="Arial"/>
                <w:b/>
                <w:sz w:val="22"/>
              </w:rPr>
              <w:t>Medium</w:t>
            </w:r>
          </w:p>
        </w:tc>
        <w:tc>
          <w:tcPr>
            <w:tcW w:w="709" w:type="dxa"/>
          </w:tcPr>
          <w:p w:rsidR="00511F5C" w:rsidRPr="000030BA" w:rsidRDefault="00B85CD6" w:rsidP="003C4B36">
            <w:pPr>
              <w:pStyle w:val="Rquotation"/>
              <w:spacing w:before="40" w:after="40" w:line="240" w:lineRule="auto"/>
              <w:ind w:left="0"/>
              <w:rPr>
                <w:rFonts w:cs="Arial"/>
                <w:b/>
                <w:sz w:val="22"/>
              </w:rPr>
            </w:pPr>
            <w:r w:rsidRPr="000030BA">
              <w:rPr>
                <w:rFonts w:cs="Arial"/>
                <w:b/>
                <w:sz w:val="22"/>
              </w:rPr>
              <w:t>Low</w:t>
            </w:r>
          </w:p>
        </w:tc>
        <w:tc>
          <w:tcPr>
            <w:tcW w:w="1561" w:type="dxa"/>
            <w:gridSpan w:val="2"/>
            <w:vMerge/>
            <w:shd w:val="clear" w:color="auto" w:fill="D9D9D9" w:themeFill="background1" w:themeFillShade="D9"/>
          </w:tcPr>
          <w:p w:rsidR="00511F5C" w:rsidRPr="000030BA" w:rsidRDefault="0031456E" w:rsidP="003C4B36">
            <w:pPr>
              <w:pStyle w:val="Rquotation"/>
              <w:spacing w:before="40" w:after="40" w:line="240" w:lineRule="auto"/>
              <w:ind w:left="0"/>
              <w:rPr>
                <w:rFonts w:cs="Arial"/>
                <w:b/>
                <w:sz w:val="22"/>
              </w:rPr>
            </w:pPr>
          </w:p>
        </w:tc>
      </w:tr>
      <w:tr w:rsidR="009C1F4F" w:rsidTr="00E97985">
        <w:tc>
          <w:tcPr>
            <w:tcW w:w="2268" w:type="dxa"/>
            <w:gridSpan w:val="2"/>
          </w:tcPr>
          <w:p w:rsidR="00E97985" w:rsidRPr="000030BA" w:rsidRDefault="00B85CD6" w:rsidP="003C4B36">
            <w:pPr>
              <w:pStyle w:val="Rquotation"/>
              <w:tabs>
                <w:tab w:val="decimal" w:pos="513"/>
              </w:tabs>
              <w:spacing w:before="40" w:after="40" w:line="240" w:lineRule="auto"/>
              <w:ind w:left="0"/>
              <w:rPr>
                <w:rFonts w:cs="Arial"/>
                <w:sz w:val="22"/>
              </w:rPr>
            </w:pPr>
            <w:r w:rsidRPr="000030BA">
              <w:rPr>
                <w:rFonts w:cs="Arial"/>
                <w:sz w:val="22"/>
              </w:rPr>
              <w:t>Complete</w:t>
            </w:r>
          </w:p>
        </w:tc>
        <w:tc>
          <w:tcPr>
            <w:tcW w:w="850" w:type="dxa"/>
          </w:tcPr>
          <w:p w:rsidR="00E97985" w:rsidRPr="000030BA" w:rsidRDefault="00B85CD6" w:rsidP="003C4B36">
            <w:pPr>
              <w:pStyle w:val="Rquotation"/>
              <w:tabs>
                <w:tab w:val="decimal" w:pos="604"/>
              </w:tabs>
              <w:spacing w:before="40" w:after="40" w:line="240" w:lineRule="auto"/>
              <w:ind w:left="0"/>
              <w:rPr>
                <w:rFonts w:cs="Arial"/>
                <w:sz w:val="22"/>
              </w:rPr>
            </w:pPr>
            <w:r>
              <w:rPr>
                <w:rFonts w:cs="Arial"/>
                <w:sz w:val="22"/>
              </w:rPr>
              <w:t>396</w:t>
            </w:r>
          </w:p>
        </w:tc>
        <w:tc>
          <w:tcPr>
            <w:tcW w:w="851" w:type="dxa"/>
          </w:tcPr>
          <w:p w:rsidR="00E97985" w:rsidRPr="000030BA" w:rsidRDefault="00B85CD6" w:rsidP="003C4B36">
            <w:pPr>
              <w:pStyle w:val="Rquotation"/>
              <w:tabs>
                <w:tab w:val="decimal" w:pos="513"/>
              </w:tabs>
              <w:spacing w:before="40" w:after="40" w:line="240" w:lineRule="auto"/>
              <w:ind w:left="0"/>
              <w:rPr>
                <w:rFonts w:cs="Arial"/>
                <w:sz w:val="22"/>
              </w:rPr>
            </w:pPr>
            <w:r>
              <w:rPr>
                <w:rFonts w:cs="Arial"/>
                <w:sz w:val="22"/>
              </w:rPr>
              <w:t>76%</w:t>
            </w:r>
          </w:p>
        </w:tc>
        <w:tc>
          <w:tcPr>
            <w:tcW w:w="850" w:type="dxa"/>
          </w:tcPr>
          <w:p w:rsidR="00E97985" w:rsidRPr="000030BA" w:rsidRDefault="00B85CD6" w:rsidP="003C4B36">
            <w:pPr>
              <w:pStyle w:val="Rquotation"/>
              <w:tabs>
                <w:tab w:val="decimal" w:pos="460"/>
              </w:tabs>
              <w:spacing w:before="40" w:after="40" w:line="240" w:lineRule="auto"/>
              <w:ind w:left="0"/>
              <w:rPr>
                <w:rFonts w:cs="Arial"/>
                <w:sz w:val="22"/>
              </w:rPr>
            </w:pPr>
            <w:r>
              <w:rPr>
                <w:rFonts w:cs="Arial"/>
                <w:sz w:val="22"/>
              </w:rPr>
              <w:t>21</w:t>
            </w:r>
          </w:p>
        </w:tc>
        <w:tc>
          <w:tcPr>
            <w:tcW w:w="1134" w:type="dxa"/>
          </w:tcPr>
          <w:p w:rsidR="00E97985" w:rsidRPr="000030BA" w:rsidRDefault="00B85CD6" w:rsidP="003C4B36">
            <w:pPr>
              <w:pStyle w:val="Rquotation"/>
              <w:tabs>
                <w:tab w:val="decimal" w:pos="685"/>
              </w:tabs>
              <w:spacing w:before="40" w:after="40" w:line="240" w:lineRule="auto"/>
              <w:ind w:left="0"/>
              <w:rPr>
                <w:rFonts w:cs="Arial"/>
                <w:sz w:val="22"/>
              </w:rPr>
            </w:pPr>
            <w:r>
              <w:rPr>
                <w:rFonts w:cs="Arial"/>
                <w:sz w:val="22"/>
              </w:rPr>
              <w:t>225</w:t>
            </w:r>
          </w:p>
        </w:tc>
        <w:tc>
          <w:tcPr>
            <w:tcW w:w="709" w:type="dxa"/>
          </w:tcPr>
          <w:p w:rsidR="00E97985" w:rsidRPr="000030BA" w:rsidRDefault="00B85CD6" w:rsidP="003C4B36">
            <w:pPr>
              <w:pStyle w:val="Rquotation"/>
              <w:tabs>
                <w:tab w:val="decimal" w:pos="420"/>
              </w:tabs>
              <w:spacing w:before="40" w:after="40" w:line="240" w:lineRule="auto"/>
              <w:ind w:left="0"/>
              <w:rPr>
                <w:rFonts w:cs="Arial"/>
                <w:sz w:val="22"/>
              </w:rPr>
            </w:pPr>
            <w:r>
              <w:rPr>
                <w:rFonts w:cs="Arial"/>
                <w:sz w:val="22"/>
              </w:rPr>
              <w:t>150</w:t>
            </w:r>
          </w:p>
        </w:tc>
        <w:tc>
          <w:tcPr>
            <w:tcW w:w="708" w:type="dxa"/>
          </w:tcPr>
          <w:p w:rsidR="00E97985" w:rsidRPr="000030BA" w:rsidRDefault="00B85CD6" w:rsidP="003C4B36">
            <w:pPr>
              <w:pStyle w:val="Rquotation"/>
              <w:tabs>
                <w:tab w:val="decimal" w:pos="420"/>
              </w:tabs>
              <w:spacing w:before="40" w:after="40" w:line="240" w:lineRule="auto"/>
              <w:ind w:left="0"/>
              <w:rPr>
                <w:rFonts w:cs="Arial"/>
                <w:sz w:val="22"/>
              </w:rPr>
            </w:pPr>
            <w:r w:rsidRPr="0012646A">
              <w:rPr>
                <w:rFonts w:cs="Arial"/>
                <w:sz w:val="22"/>
              </w:rPr>
              <w:t>267</w:t>
            </w:r>
          </w:p>
        </w:tc>
        <w:tc>
          <w:tcPr>
            <w:tcW w:w="853" w:type="dxa"/>
          </w:tcPr>
          <w:p w:rsidR="00E97985" w:rsidRPr="000030BA" w:rsidRDefault="00B85CD6" w:rsidP="003C4B36">
            <w:pPr>
              <w:pStyle w:val="Rquotation"/>
              <w:tabs>
                <w:tab w:val="decimal" w:pos="420"/>
              </w:tabs>
              <w:spacing w:before="40" w:after="40" w:line="240" w:lineRule="auto"/>
              <w:ind w:left="0"/>
              <w:rPr>
                <w:rFonts w:cs="Arial"/>
                <w:sz w:val="22"/>
              </w:rPr>
            </w:pPr>
            <w:r w:rsidRPr="0012646A">
              <w:rPr>
                <w:rFonts w:cs="Arial"/>
                <w:sz w:val="22"/>
              </w:rPr>
              <w:t>73%</w:t>
            </w:r>
          </w:p>
        </w:tc>
      </w:tr>
      <w:tr w:rsidR="009C1F4F" w:rsidTr="00E97985">
        <w:tc>
          <w:tcPr>
            <w:tcW w:w="2268" w:type="dxa"/>
            <w:gridSpan w:val="2"/>
          </w:tcPr>
          <w:p w:rsidR="00E97985" w:rsidRPr="000030BA" w:rsidRDefault="00B85CD6" w:rsidP="003C4B36">
            <w:pPr>
              <w:pStyle w:val="Rquotation"/>
              <w:tabs>
                <w:tab w:val="decimal" w:pos="513"/>
              </w:tabs>
              <w:spacing w:before="40" w:after="40" w:line="240" w:lineRule="auto"/>
              <w:ind w:left="0"/>
              <w:rPr>
                <w:rFonts w:cs="Arial"/>
                <w:sz w:val="22"/>
              </w:rPr>
            </w:pPr>
            <w:r w:rsidRPr="000030BA">
              <w:rPr>
                <w:rFonts w:cs="Arial"/>
                <w:sz w:val="22"/>
              </w:rPr>
              <w:t>Superseded</w:t>
            </w:r>
          </w:p>
        </w:tc>
        <w:tc>
          <w:tcPr>
            <w:tcW w:w="850" w:type="dxa"/>
          </w:tcPr>
          <w:p w:rsidR="00E97985" w:rsidRPr="000030BA" w:rsidRDefault="00B85CD6" w:rsidP="003C4B36">
            <w:pPr>
              <w:pStyle w:val="Rquotation"/>
              <w:tabs>
                <w:tab w:val="decimal" w:pos="604"/>
              </w:tabs>
              <w:spacing w:before="40" w:after="40" w:line="240" w:lineRule="auto"/>
              <w:ind w:left="0"/>
              <w:rPr>
                <w:rFonts w:cs="Arial"/>
                <w:sz w:val="22"/>
              </w:rPr>
            </w:pPr>
            <w:r>
              <w:rPr>
                <w:rFonts w:cs="Arial"/>
                <w:sz w:val="22"/>
              </w:rPr>
              <w:t>39</w:t>
            </w:r>
          </w:p>
        </w:tc>
        <w:tc>
          <w:tcPr>
            <w:tcW w:w="851" w:type="dxa"/>
          </w:tcPr>
          <w:p w:rsidR="00E97985" w:rsidRPr="000030BA" w:rsidRDefault="00B85CD6" w:rsidP="003C4B36">
            <w:pPr>
              <w:pStyle w:val="Rquotation"/>
              <w:tabs>
                <w:tab w:val="decimal" w:pos="513"/>
              </w:tabs>
              <w:spacing w:before="40" w:after="40" w:line="240" w:lineRule="auto"/>
              <w:ind w:left="0"/>
              <w:rPr>
                <w:rFonts w:cs="Arial"/>
                <w:sz w:val="22"/>
              </w:rPr>
            </w:pPr>
            <w:r>
              <w:rPr>
                <w:rFonts w:cs="Arial"/>
                <w:sz w:val="22"/>
              </w:rPr>
              <w:t>7%</w:t>
            </w:r>
          </w:p>
        </w:tc>
        <w:tc>
          <w:tcPr>
            <w:tcW w:w="850" w:type="dxa"/>
          </w:tcPr>
          <w:p w:rsidR="00E97985" w:rsidRPr="000030BA" w:rsidRDefault="00B85CD6" w:rsidP="003C4B36">
            <w:pPr>
              <w:pStyle w:val="Rquotation"/>
              <w:tabs>
                <w:tab w:val="decimal" w:pos="460"/>
              </w:tabs>
              <w:spacing w:before="40" w:after="40" w:line="240" w:lineRule="auto"/>
              <w:ind w:left="0"/>
              <w:rPr>
                <w:rFonts w:cs="Arial"/>
                <w:sz w:val="22"/>
              </w:rPr>
            </w:pPr>
            <w:r>
              <w:rPr>
                <w:rFonts w:cs="Arial"/>
                <w:sz w:val="22"/>
              </w:rPr>
              <w:t>8</w:t>
            </w:r>
          </w:p>
        </w:tc>
        <w:tc>
          <w:tcPr>
            <w:tcW w:w="1134" w:type="dxa"/>
          </w:tcPr>
          <w:p w:rsidR="00E97985" w:rsidRPr="000030BA" w:rsidRDefault="00B85CD6" w:rsidP="003C4B36">
            <w:pPr>
              <w:pStyle w:val="Rquotation"/>
              <w:tabs>
                <w:tab w:val="decimal" w:pos="685"/>
              </w:tabs>
              <w:spacing w:before="40" w:after="40" w:line="240" w:lineRule="auto"/>
              <w:ind w:left="0"/>
              <w:rPr>
                <w:rFonts w:cs="Arial"/>
                <w:sz w:val="22"/>
              </w:rPr>
            </w:pPr>
            <w:r>
              <w:rPr>
                <w:rFonts w:cs="Arial"/>
                <w:sz w:val="22"/>
              </w:rPr>
              <w:t>23</w:t>
            </w:r>
          </w:p>
        </w:tc>
        <w:tc>
          <w:tcPr>
            <w:tcW w:w="709" w:type="dxa"/>
          </w:tcPr>
          <w:p w:rsidR="00E97985" w:rsidRPr="000030BA" w:rsidRDefault="00B85CD6" w:rsidP="003C4B36">
            <w:pPr>
              <w:pStyle w:val="Rquotation"/>
              <w:tabs>
                <w:tab w:val="decimal" w:pos="420"/>
              </w:tabs>
              <w:spacing w:before="40" w:after="40" w:line="240" w:lineRule="auto"/>
              <w:ind w:left="0"/>
              <w:rPr>
                <w:rFonts w:cs="Arial"/>
                <w:sz w:val="22"/>
              </w:rPr>
            </w:pPr>
            <w:r>
              <w:rPr>
                <w:rFonts w:cs="Arial"/>
                <w:sz w:val="22"/>
              </w:rPr>
              <w:t>8</w:t>
            </w:r>
          </w:p>
        </w:tc>
        <w:tc>
          <w:tcPr>
            <w:tcW w:w="708" w:type="dxa"/>
          </w:tcPr>
          <w:p w:rsidR="00E97985" w:rsidRPr="000030BA" w:rsidRDefault="00B85CD6" w:rsidP="003C4B36">
            <w:pPr>
              <w:pStyle w:val="Rquotation"/>
              <w:tabs>
                <w:tab w:val="decimal" w:pos="420"/>
              </w:tabs>
              <w:spacing w:before="40" w:after="40" w:line="240" w:lineRule="auto"/>
              <w:ind w:left="0"/>
              <w:rPr>
                <w:rFonts w:cs="Arial"/>
                <w:sz w:val="22"/>
              </w:rPr>
            </w:pPr>
            <w:r w:rsidRPr="0012646A">
              <w:rPr>
                <w:rFonts w:cs="Arial"/>
                <w:sz w:val="22"/>
              </w:rPr>
              <w:t>46</w:t>
            </w:r>
          </w:p>
        </w:tc>
        <w:tc>
          <w:tcPr>
            <w:tcW w:w="853" w:type="dxa"/>
          </w:tcPr>
          <w:p w:rsidR="00E97985" w:rsidRPr="000030BA" w:rsidRDefault="00B85CD6" w:rsidP="003C4B36">
            <w:pPr>
              <w:pStyle w:val="Rquotation"/>
              <w:tabs>
                <w:tab w:val="decimal" w:pos="420"/>
              </w:tabs>
              <w:spacing w:before="40" w:after="40" w:line="240" w:lineRule="auto"/>
              <w:ind w:left="0"/>
              <w:rPr>
                <w:rFonts w:cs="Arial"/>
                <w:sz w:val="22"/>
              </w:rPr>
            </w:pPr>
            <w:r w:rsidRPr="0012646A">
              <w:rPr>
                <w:rFonts w:cs="Arial"/>
                <w:sz w:val="22"/>
              </w:rPr>
              <w:t>13%</w:t>
            </w:r>
          </w:p>
        </w:tc>
      </w:tr>
      <w:tr w:rsidR="009C1F4F" w:rsidTr="00E97985">
        <w:tc>
          <w:tcPr>
            <w:tcW w:w="2268" w:type="dxa"/>
            <w:gridSpan w:val="2"/>
          </w:tcPr>
          <w:p w:rsidR="00E97985" w:rsidRPr="000030BA" w:rsidRDefault="00B85CD6" w:rsidP="003C4B36">
            <w:pPr>
              <w:pStyle w:val="Rquotation"/>
              <w:tabs>
                <w:tab w:val="decimal" w:pos="513"/>
              </w:tabs>
              <w:spacing w:before="40" w:after="40" w:line="240" w:lineRule="auto"/>
              <w:ind w:left="0"/>
              <w:rPr>
                <w:rFonts w:cs="Arial"/>
                <w:sz w:val="22"/>
              </w:rPr>
            </w:pPr>
            <w:r w:rsidRPr="000030BA">
              <w:rPr>
                <w:rFonts w:cs="Arial"/>
                <w:sz w:val="22"/>
              </w:rPr>
              <w:t>Incomplete</w:t>
            </w:r>
          </w:p>
        </w:tc>
        <w:tc>
          <w:tcPr>
            <w:tcW w:w="850" w:type="dxa"/>
          </w:tcPr>
          <w:p w:rsidR="00E97985" w:rsidRPr="000030BA" w:rsidRDefault="00B85CD6" w:rsidP="003C4B36">
            <w:pPr>
              <w:pStyle w:val="Rquotation"/>
              <w:tabs>
                <w:tab w:val="decimal" w:pos="604"/>
              </w:tabs>
              <w:spacing w:before="40" w:after="40" w:line="240" w:lineRule="auto"/>
              <w:ind w:left="0"/>
              <w:rPr>
                <w:rFonts w:cs="Arial"/>
                <w:sz w:val="22"/>
              </w:rPr>
            </w:pPr>
            <w:r>
              <w:rPr>
                <w:rFonts w:cs="Arial"/>
                <w:sz w:val="22"/>
              </w:rPr>
              <w:t>26</w:t>
            </w:r>
          </w:p>
        </w:tc>
        <w:tc>
          <w:tcPr>
            <w:tcW w:w="851" w:type="dxa"/>
          </w:tcPr>
          <w:p w:rsidR="00E97985" w:rsidRPr="000030BA" w:rsidRDefault="00B85CD6" w:rsidP="003C4B36">
            <w:pPr>
              <w:pStyle w:val="Rquotation"/>
              <w:tabs>
                <w:tab w:val="decimal" w:pos="513"/>
              </w:tabs>
              <w:spacing w:before="40" w:after="40" w:line="240" w:lineRule="auto"/>
              <w:ind w:left="0"/>
              <w:rPr>
                <w:rFonts w:cs="Arial"/>
                <w:sz w:val="22"/>
              </w:rPr>
            </w:pPr>
            <w:r>
              <w:rPr>
                <w:rFonts w:cs="Arial"/>
                <w:sz w:val="22"/>
              </w:rPr>
              <w:t>5%</w:t>
            </w:r>
          </w:p>
        </w:tc>
        <w:tc>
          <w:tcPr>
            <w:tcW w:w="850" w:type="dxa"/>
          </w:tcPr>
          <w:p w:rsidR="00E97985" w:rsidRPr="000030BA" w:rsidRDefault="00B85CD6" w:rsidP="003C4B36">
            <w:pPr>
              <w:pStyle w:val="Rquotation"/>
              <w:tabs>
                <w:tab w:val="decimal" w:pos="460"/>
              </w:tabs>
              <w:spacing w:before="40" w:after="40" w:line="240" w:lineRule="auto"/>
              <w:ind w:left="0"/>
              <w:rPr>
                <w:rFonts w:cs="Arial"/>
                <w:sz w:val="22"/>
              </w:rPr>
            </w:pPr>
            <w:r>
              <w:rPr>
                <w:rFonts w:cs="Arial"/>
                <w:sz w:val="22"/>
              </w:rPr>
              <w:t>4</w:t>
            </w:r>
          </w:p>
        </w:tc>
        <w:tc>
          <w:tcPr>
            <w:tcW w:w="1134" w:type="dxa"/>
          </w:tcPr>
          <w:p w:rsidR="00E97985" w:rsidRPr="000030BA" w:rsidRDefault="00B85CD6" w:rsidP="003C4B36">
            <w:pPr>
              <w:pStyle w:val="Rquotation"/>
              <w:tabs>
                <w:tab w:val="decimal" w:pos="685"/>
              </w:tabs>
              <w:spacing w:before="40" w:after="40" w:line="240" w:lineRule="auto"/>
              <w:ind w:left="0"/>
              <w:rPr>
                <w:rFonts w:cs="Arial"/>
                <w:sz w:val="22"/>
              </w:rPr>
            </w:pPr>
            <w:r>
              <w:rPr>
                <w:rFonts w:cs="Arial"/>
                <w:sz w:val="22"/>
              </w:rPr>
              <w:t>16</w:t>
            </w:r>
          </w:p>
        </w:tc>
        <w:tc>
          <w:tcPr>
            <w:tcW w:w="709" w:type="dxa"/>
          </w:tcPr>
          <w:p w:rsidR="00E97985" w:rsidRPr="000030BA" w:rsidRDefault="00B85CD6" w:rsidP="003C4B36">
            <w:pPr>
              <w:pStyle w:val="Rquotation"/>
              <w:tabs>
                <w:tab w:val="decimal" w:pos="420"/>
              </w:tabs>
              <w:spacing w:before="40" w:after="40" w:line="240" w:lineRule="auto"/>
              <w:ind w:left="0"/>
              <w:rPr>
                <w:rFonts w:cs="Arial"/>
                <w:sz w:val="22"/>
              </w:rPr>
            </w:pPr>
            <w:r>
              <w:rPr>
                <w:rFonts w:cs="Arial"/>
                <w:sz w:val="22"/>
              </w:rPr>
              <w:t>6</w:t>
            </w:r>
          </w:p>
        </w:tc>
        <w:tc>
          <w:tcPr>
            <w:tcW w:w="708" w:type="dxa"/>
          </w:tcPr>
          <w:p w:rsidR="00E97985" w:rsidRPr="000030BA" w:rsidRDefault="00B85CD6" w:rsidP="003C4B36">
            <w:pPr>
              <w:pStyle w:val="Rquotation"/>
              <w:tabs>
                <w:tab w:val="decimal" w:pos="420"/>
              </w:tabs>
              <w:spacing w:before="40" w:after="40" w:line="240" w:lineRule="auto"/>
              <w:ind w:left="0"/>
              <w:rPr>
                <w:rFonts w:cs="Arial"/>
                <w:sz w:val="22"/>
              </w:rPr>
            </w:pPr>
            <w:r w:rsidRPr="0012646A">
              <w:rPr>
                <w:rFonts w:cs="Arial"/>
                <w:sz w:val="22"/>
              </w:rPr>
              <w:t>11</w:t>
            </w:r>
          </w:p>
        </w:tc>
        <w:tc>
          <w:tcPr>
            <w:tcW w:w="853" w:type="dxa"/>
          </w:tcPr>
          <w:p w:rsidR="00E97985" w:rsidRPr="000030BA" w:rsidRDefault="00B85CD6" w:rsidP="003C4B36">
            <w:pPr>
              <w:pStyle w:val="Rquotation"/>
              <w:tabs>
                <w:tab w:val="decimal" w:pos="420"/>
              </w:tabs>
              <w:spacing w:before="40" w:after="40" w:line="240" w:lineRule="auto"/>
              <w:ind w:left="0"/>
              <w:rPr>
                <w:rFonts w:cs="Arial"/>
                <w:sz w:val="22"/>
              </w:rPr>
            </w:pPr>
            <w:r w:rsidRPr="0012646A">
              <w:rPr>
                <w:rFonts w:cs="Arial"/>
                <w:sz w:val="22"/>
              </w:rPr>
              <w:t>3%</w:t>
            </w:r>
          </w:p>
        </w:tc>
      </w:tr>
      <w:tr w:rsidR="009C1F4F" w:rsidTr="00E97985">
        <w:tc>
          <w:tcPr>
            <w:tcW w:w="2268" w:type="dxa"/>
            <w:gridSpan w:val="2"/>
          </w:tcPr>
          <w:p w:rsidR="00E97985" w:rsidRPr="000030BA" w:rsidRDefault="00B85CD6" w:rsidP="003C4B36">
            <w:pPr>
              <w:pStyle w:val="Rquotation"/>
              <w:tabs>
                <w:tab w:val="decimal" w:pos="513"/>
              </w:tabs>
              <w:spacing w:before="40" w:after="40" w:line="240" w:lineRule="auto"/>
              <w:ind w:left="0"/>
              <w:rPr>
                <w:rFonts w:cs="Arial"/>
                <w:sz w:val="22"/>
              </w:rPr>
            </w:pPr>
            <w:r w:rsidRPr="000030BA">
              <w:rPr>
                <w:rFonts w:cs="Arial"/>
                <w:sz w:val="22"/>
              </w:rPr>
              <w:t>Awaiting responses</w:t>
            </w:r>
          </w:p>
        </w:tc>
        <w:tc>
          <w:tcPr>
            <w:tcW w:w="850" w:type="dxa"/>
          </w:tcPr>
          <w:p w:rsidR="00E97985" w:rsidRPr="000030BA" w:rsidRDefault="00B85CD6" w:rsidP="003C4B36">
            <w:pPr>
              <w:pStyle w:val="Rquotation"/>
              <w:tabs>
                <w:tab w:val="decimal" w:pos="604"/>
              </w:tabs>
              <w:spacing w:before="40" w:after="40" w:line="240" w:lineRule="auto"/>
              <w:ind w:left="0"/>
              <w:rPr>
                <w:rFonts w:cs="Arial"/>
                <w:sz w:val="22"/>
              </w:rPr>
            </w:pPr>
            <w:r>
              <w:rPr>
                <w:rFonts w:cs="Arial"/>
                <w:sz w:val="22"/>
              </w:rPr>
              <w:t>61</w:t>
            </w:r>
          </w:p>
        </w:tc>
        <w:tc>
          <w:tcPr>
            <w:tcW w:w="851" w:type="dxa"/>
          </w:tcPr>
          <w:p w:rsidR="00E97985" w:rsidRPr="000030BA" w:rsidRDefault="00B85CD6" w:rsidP="003C4B36">
            <w:pPr>
              <w:pStyle w:val="Rquotation"/>
              <w:tabs>
                <w:tab w:val="decimal" w:pos="513"/>
              </w:tabs>
              <w:spacing w:before="40" w:after="40" w:line="240" w:lineRule="auto"/>
              <w:ind w:left="0"/>
              <w:rPr>
                <w:rFonts w:cs="Arial"/>
                <w:sz w:val="22"/>
              </w:rPr>
            </w:pPr>
            <w:r>
              <w:rPr>
                <w:rFonts w:cs="Arial"/>
                <w:sz w:val="22"/>
              </w:rPr>
              <w:t>12%</w:t>
            </w:r>
          </w:p>
        </w:tc>
        <w:tc>
          <w:tcPr>
            <w:tcW w:w="850" w:type="dxa"/>
          </w:tcPr>
          <w:p w:rsidR="00E97985" w:rsidRPr="000030BA" w:rsidRDefault="00B85CD6" w:rsidP="003C4B36">
            <w:pPr>
              <w:pStyle w:val="Rquotation"/>
              <w:tabs>
                <w:tab w:val="decimal" w:pos="460"/>
              </w:tabs>
              <w:spacing w:before="40" w:after="40" w:line="240" w:lineRule="auto"/>
              <w:ind w:left="0"/>
              <w:rPr>
                <w:rFonts w:cs="Arial"/>
                <w:sz w:val="22"/>
              </w:rPr>
            </w:pPr>
            <w:r>
              <w:rPr>
                <w:rFonts w:cs="Arial"/>
                <w:sz w:val="22"/>
              </w:rPr>
              <w:t>3</w:t>
            </w:r>
          </w:p>
        </w:tc>
        <w:tc>
          <w:tcPr>
            <w:tcW w:w="1134" w:type="dxa"/>
          </w:tcPr>
          <w:p w:rsidR="00E97985" w:rsidRPr="000030BA" w:rsidRDefault="00B85CD6" w:rsidP="003C4B36">
            <w:pPr>
              <w:pStyle w:val="Rquotation"/>
              <w:tabs>
                <w:tab w:val="decimal" w:pos="685"/>
              </w:tabs>
              <w:spacing w:before="40" w:after="40" w:line="240" w:lineRule="auto"/>
              <w:ind w:left="0"/>
              <w:rPr>
                <w:rFonts w:cs="Arial"/>
                <w:sz w:val="22"/>
              </w:rPr>
            </w:pPr>
            <w:r>
              <w:rPr>
                <w:rFonts w:cs="Arial"/>
                <w:sz w:val="22"/>
              </w:rPr>
              <w:t>32</w:t>
            </w:r>
          </w:p>
        </w:tc>
        <w:tc>
          <w:tcPr>
            <w:tcW w:w="709" w:type="dxa"/>
          </w:tcPr>
          <w:p w:rsidR="00E97985" w:rsidRPr="000030BA" w:rsidRDefault="00B85CD6" w:rsidP="003C4B36">
            <w:pPr>
              <w:pStyle w:val="Rquotation"/>
              <w:tabs>
                <w:tab w:val="decimal" w:pos="420"/>
              </w:tabs>
              <w:spacing w:before="40" w:after="40" w:line="240" w:lineRule="auto"/>
              <w:ind w:left="0"/>
              <w:rPr>
                <w:rFonts w:cs="Arial"/>
                <w:sz w:val="22"/>
              </w:rPr>
            </w:pPr>
            <w:r>
              <w:rPr>
                <w:rFonts w:cs="Arial"/>
                <w:sz w:val="22"/>
              </w:rPr>
              <w:t>26</w:t>
            </w:r>
          </w:p>
        </w:tc>
        <w:tc>
          <w:tcPr>
            <w:tcW w:w="708" w:type="dxa"/>
          </w:tcPr>
          <w:p w:rsidR="00E97985" w:rsidRDefault="00B85CD6" w:rsidP="003C4B36">
            <w:pPr>
              <w:pStyle w:val="Rquotation"/>
              <w:tabs>
                <w:tab w:val="decimal" w:pos="420"/>
              </w:tabs>
              <w:spacing w:before="40" w:after="40" w:line="240" w:lineRule="auto"/>
              <w:ind w:left="0"/>
              <w:rPr>
                <w:rFonts w:cs="Arial"/>
                <w:sz w:val="22"/>
              </w:rPr>
            </w:pPr>
            <w:r w:rsidRPr="0012646A">
              <w:rPr>
                <w:rFonts w:cs="Arial"/>
                <w:sz w:val="22"/>
              </w:rPr>
              <w:t>39</w:t>
            </w:r>
          </w:p>
        </w:tc>
        <w:tc>
          <w:tcPr>
            <w:tcW w:w="853" w:type="dxa"/>
          </w:tcPr>
          <w:p w:rsidR="00E97985" w:rsidRDefault="00B85CD6" w:rsidP="003C4B36">
            <w:pPr>
              <w:pStyle w:val="Rquotation"/>
              <w:tabs>
                <w:tab w:val="decimal" w:pos="420"/>
              </w:tabs>
              <w:spacing w:before="40" w:after="40" w:line="240" w:lineRule="auto"/>
              <w:ind w:left="0"/>
              <w:rPr>
                <w:rFonts w:cs="Arial"/>
                <w:sz w:val="22"/>
              </w:rPr>
            </w:pPr>
            <w:r w:rsidRPr="0012646A">
              <w:rPr>
                <w:rFonts w:cs="Arial"/>
                <w:sz w:val="22"/>
              </w:rPr>
              <w:t>11%</w:t>
            </w:r>
          </w:p>
        </w:tc>
      </w:tr>
      <w:tr w:rsidR="009C1F4F" w:rsidTr="00E97985">
        <w:tc>
          <w:tcPr>
            <w:tcW w:w="2268" w:type="dxa"/>
            <w:gridSpan w:val="2"/>
            <w:tcBorders>
              <w:bottom w:val="single" w:sz="2" w:space="0" w:color="auto"/>
            </w:tcBorders>
            <w:shd w:val="clear" w:color="auto" w:fill="D9D9D9" w:themeFill="background1" w:themeFillShade="D9"/>
          </w:tcPr>
          <w:p w:rsidR="00E97985" w:rsidRPr="000030BA" w:rsidRDefault="00B85CD6" w:rsidP="003C4B36">
            <w:pPr>
              <w:pStyle w:val="Rquotation"/>
              <w:tabs>
                <w:tab w:val="decimal" w:pos="513"/>
              </w:tabs>
              <w:spacing w:before="40" w:after="40" w:line="240" w:lineRule="auto"/>
              <w:ind w:left="0"/>
              <w:rPr>
                <w:rFonts w:cs="Arial"/>
                <w:b/>
                <w:sz w:val="22"/>
              </w:rPr>
            </w:pPr>
            <w:r w:rsidRPr="000030BA">
              <w:rPr>
                <w:rFonts w:cs="Arial"/>
                <w:b/>
                <w:sz w:val="22"/>
              </w:rPr>
              <w:t>Total</w:t>
            </w:r>
          </w:p>
        </w:tc>
        <w:tc>
          <w:tcPr>
            <w:tcW w:w="850" w:type="dxa"/>
            <w:shd w:val="clear" w:color="auto" w:fill="D9D9D9" w:themeFill="background1" w:themeFillShade="D9"/>
          </w:tcPr>
          <w:p w:rsidR="00E97985" w:rsidRPr="000030BA" w:rsidRDefault="00B85CD6" w:rsidP="003C4B36">
            <w:pPr>
              <w:pStyle w:val="Rquotation"/>
              <w:tabs>
                <w:tab w:val="decimal" w:pos="604"/>
              </w:tabs>
              <w:spacing w:before="40" w:after="40" w:line="240" w:lineRule="auto"/>
              <w:ind w:left="0"/>
              <w:rPr>
                <w:rFonts w:cs="Arial"/>
                <w:b/>
                <w:sz w:val="22"/>
              </w:rPr>
            </w:pPr>
            <w:r>
              <w:rPr>
                <w:rFonts w:cs="Arial"/>
                <w:b/>
                <w:sz w:val="22"/>
              </w:rPr>
              <w:t>522</w:t>
            </w:r>
          </w:p>
        </w:tc>
        <w:tc>
          <w:tcPr>
            <w:tcW w:w="851" w:type="dxa"/>
            <w:shd w:val="clear" w:color="auto" w:fill="D9D9D9" w:themeFill="background1" w:themeFillShade="D9"/>
          </w:tcPr>
          <w:p w:rsidR="00E97985" w:rsidRPr="000030BA" w:rsidRDefault="00B85CD6" w:rsidP="003C4B36">
            <w:pPr>
              <w:pStyle w:val="Rquotation"/>
              <w:tabs>
                <w:tab w:val="decimal" w:pos="513"/>
              </w:tabs>
              <w:spacing w:before="40" w:after="40" w:line="240" w:lineRule="auto"/>
              <w:ind w:left="-111"/>
              <w:rPr>
                <w:rFonts w:cs="Arial"/>
                <w:b/>
                <w:sz w:val="22"/>
              </w:rPr>
            </w:pPr>
            <w:r>
              <w:rPr>
                <w:rFonts w:cs="Arial"/>
                <w:b/>
                <w:sz w:val="22"/>
              </w:rPr>
              <w:t>100%</w:t>
            </w:r>
          </w:p>
        </w:tc>
        <w:tc>
          <w:tcPr>
            <w:tcW w:w="850" w:type="dxa"/>
            <w:shd w:val="clear" w:color="auto" w:fill="D9D9D9" w:themeFill="background1" w:themeFillShade="D9"/>
          </w:tcPr>
          <w:p w:rsidR="00E97985" w:rsidRPr="000030BA" w:rsidRDefault="00B85CD6" w:rsidP="003C4B36">
            <w:pPr>
              <w:pStyle w:val="Rquotation"/>
              <w:tabs>
                <w:tab w:val="decimal" w:pos="460"/>
              </w:tabs>
              <w:spacing w:before="40" w:after="40" w:line="240" w:lineRule="auto"/>
              <w:ind w:left="0"/>
              <w:rPr>
                <w:rFonts w:cs="Arial"/>
                <w:b/>
                <w:sz w:val="22"/>
              </w:rPr>
            </w:pPr>
            <w:r>
              <w:rPr>
                <w:rFonts w:cs="Arial"/>
                <w:b/>
                <w:sz w:val="22"/>
              </w:rPr>
              <w:t>36</w:t>
            </w:r>
          </w:p>
        </w:tc>
        <w:tc>
          <w:tcPr>
            <w:tcW w:w="1134" w:type="dxa"/>
            <w:shd w:val="clear" w:color="auto" w:fill="D9D9D9" w:themeFill="background1" w:themeFillShade="D9"/>
          </w:tcPr>
          <w:p w:rsidR="00E97985" w:rsidRPr="000030BA" w:rsidRDefault="00B85CD6" w:rsidP="003C4B36">
            <w:pPr>
              <w:pStyle w:val="Rquotation"/>
              <w:tabs>
                <w:tab w:val="decimal" w:pos="685"/>
              </w:tabs>
              <w:spacing w:before="40" w:after="40" w:line="240" w:lineRule="auto"/>
              <w:ind w:left="0"/>
              <w:rPr>
                <w:rFonts w:cs="Arial"/>
                <w:b/>
                <w:sz w:val="22"/>
              </w:rPr>
            </w:pPr>
            <w:r>
              <w:rPr>
                <w:rFonts w:cs="Arial"/>
                <w:b/>
                <w:sz w:val="22"/>
              </w:rPr>
              <w:t>296</w:t>
            </w:r>
          </w:p>
        </w:tc>
        <w:tc>
          <w:tcPr>
            <w:tcW w:w="709" w:type="dxa"/>
            <w:shd w:val="clear" w:color="auto" w:fill="D9D9D9" w:themeFill="background1" w:themeFillShade="D9"/>
          </w:tcPr>
          <w:p w:rsidR="00E97985" w:rsidRPr="000030BA" w:rsidRDefault="00B85CD6" w:rsidP="003C4B36">
            <w:pPr>
              <w:pStyle w:val="Rquotation"/>
              <w:tabs>
                <w:tab w:val="decimal" w:pos="420"/>
              </w:tabs>
              <w:spacing w:before="40" w:after="40" w:line="240" w:lineRule="auto"/>
              <w:ind w:left="0"/>
              <w:rPr>
                <w:rFonts w:cs="Arial"/>
                <w:b/>
                <w:sz w:val="22"/>
              </w:rPr>
            </w:pPr>
            <w:r>
              <w:rPr>
                <w:rFonts w:cs="Arial"/>
                <w:b/>
                <w:sz w:val="22"/>
              </w:rPr>
              <w:t>190</w:t>
            </w:r>
          </w:p>
        </w:tc>
        <w:tc>
          <w:tcPr>
            <w:tcW w:w="708" w:type="dxa"/>
            <w:tcBorders>
              <w:bottom w:val="single" w:sz="2" w:space="0" w:color="auto"/>
            </w:tcBorders>
            <w:shd w:val="clear" w:color="auto" w:fill="D9D9D9" w:themeFill="background1" w:themeFillShade="D9"/>
          </w:tcPr>
          <w:p w:rsidR="00E97985" w:rsidRDefault="00B85CD6" w:rsidP="003C4B36">
            <w:pPr>
              <w:pStyle w:val="Rquotation"/>
              <w:tabs>
                <w:tab w:val="decimal" w:pos="420"/>
              </w:tabs>
              <w:spacing w:before="40" w:after="40" w:line="240" w:lineRule="auto"/>
              <w:ind w:left="0"/>
              <w:rPr>
                <w:rFonts w:cs="Arial"/>
                <w:b/>
                <w:sz w:val="22"/>
              </w:rPr>
            </w:pPr>
            <w:r w:rsidRPr="0012646A">
              <w:rPr>
                <w:rFonts w:cs="Arial"/>
                <w:b/>
                <w:sz w:val="22"/>
              </w:rPr>
              <w:t>363</w:t>
            </w:r>
          </w:p>
        </w:tc>
        <w:tc>
          <w:tcPr>
            <w:tcW w:w="853" w:type="dxa"/>
            <w:tcBorders>
              <w:bottom w:val="single" w:sz="2" w:space="0" w:color="auto"/>
            </w:tcBorders>
            <w:shd w:val="clear" w:color="auto" w:fill="D9D9D9" w:themeFill="background1" w:themeFillShade="D9"/>
          </w:tcPr>
          <w:p w:rsidR="00E97985" w:rsidRDefault="00B85CD6" w:rsidP="003C4B36">
            <w:pPr>
              <w:pStyle w:val="Rquotation"/>
              <w:tabs>
                <w:tab w:val="decimal" w:pos="420"/>
              </w:tabs>
              <w:spacing w:before="40" w:after="40" w:line="240" w:lineRule="auto"/>
              <w:ind w:left="0"/>
              <w:rPr>
                <w:rFonts w:cs="Arial"/>
                <w:b/>
                <w:sz w:val="22"/>
              </w:rPr>
            </w:pPr>
            <w:r w:rsidRPr="0012646A">
              <w:rPr>
                <w:rFonts w:cs="Arial"/>
                <w:b/>
                <w:sz w:val="22"/>
              </w:rPr>
              <w:t>100%</w:t>
            </w:r>
          </w:p>
        </w:tc>
      </w:tr>
      <w:tr w:rsidR="009C1F4F" w:rsidTr="00E97985">
        <w:tc>
          <w:tcPr>
            <w:tcW w:w="1134" w:type="dxa"/>
            <w:tcBorders>
              <w:right w:val="nil"/>
            </w:tcBorders>
          </w:tcPr>
          <w:p w:rsidR="00E97985" w:rsidRPr="000030BA" w:rsidRDefault="00B85CD6" w:rsidP="003C4B36">
            <w:pPr>
              <w:pStyle w:val="Rquotation"/>
              <w:spacing w:before="40" w:after="40" w:line="240" w:lineRule="auto"/>
              <w:ind w:left="0" w:right="-111"/>
              <w:rPr>
                <w:rFonts w:cs="Arial"/>
                <w:b/>
                <w:sz w:val="22"/>
              </w:rPr>
            </w:pPr>
            <w:r w:rsidRPr="000030BA">
              <w:rPr>
                <w:rFonts w:cs="Arial"/>
                <w:sz w:val="22"/>
              </w:rPr>
              <w:t>Arising in:</w:t>
            </w:r>
          </w:p>
        </w:tc>
        <w:tc>
          <w:tcPr>
            <w:tcW w:w="1134" w:type="dxa"/>
            <w:tcBorders>
              <w:left w:val="nil"/>
            </w:tcBorders>
          </w:tcPr>
          <w:p w:rsidR="00E97985" w:rsidRPr="000030BA" w:rsidRDefault="00B85CD6" w:rsidP="003C4B36">
            <w:pPr>
              <w:pStyle w:val="Rquotation"/>
              <w:spacing w:before="40" w:after="40" w:line="240" w:lineRule="auto"/>
              <w:ind w:left="0"/>
              <w:rPr>
                <w:rFonts w:cs="Arial"/>
                <w:b/>
                <w:sz w:val="22"/>
              </w:rPr>
            </w:pPr>
            <w:r w:rsidRPr="000030BA">
              <w:rPr>
                <w:rFonts w:cs="Arial"/>
                <w:b/>
                <w:sz w:val="22"/>
              </w:rPr>
              <w:t>2017/18</w:t>
            </w:r>
          </w:p>
        </w:tc>
        <w:tc>
          <w:tcPr>
            <w:tcW w:w="850" w:type="dxa"/>
          </w:tcPr>
          <w:p w:rsidR="00E97985" w:rsidRPr="00511F5C" w:rsidRDefault="00B85CD6" w:rsidP="003C4B36">
            <w:pPr>
              <w:pStyle w:val="Rquotation"/>
              <w:tabs>
                <w:tab w:val="decimal" w:pos="604"/>
              </w:tabs>
              <w:spacing w:before="40" w:after="40" w:line="240" w:lineRule="auto"/>
              <w:ind w:left="0"/>
              <w:rPr>
                <w:rFonts w:cs="Arial"/>
                <w:sz w:val="22"/>
              </w:rPr>
            </w:pPr>
            <w:r>
              <w:rPr>
                <w:rFonts w:cs="Arial"/>
                <w:sz w:val="22"/>
              </w:rPr>
              <w:t>196</w:t>
            </w:r>
          </w:p>
        </w:tc>
        <w:tc>
          <w:tcPr>
            <w:tcW w:w="851" w:type="dxa"/>
          </w:tcPr>
          <w:p w:rsidR="00E97985" w:rsidRPr="000030BA" w:rsidRDefault="00B85CD6" w:rsidP="003C4B36">
            <w:pPr>
              <w:pStyle w:val="Rquotation"/>
              <w:tabs>
                <w:tab w:val="decimal" w:pos="513"/>
              </w:tabs>
              <w:spacing w:before="40" w:after="40" w:line="240" w:lineRule="auto"/>
              <w:ind w:left="0"/>
              <w:rPr>
                <w:rFonts w:cs="Arial"/>
                <w:sz w:val="22"/>
              </w:rPr>
            </w:pPr>
            <w:r>
              <w:rPr>
                <w:rFonts w:cs="Arial"/>
                <w:sz w:val="22"/>
              </w:rPr>
              <w:t>38%</w:t>
            </w:r>
          </w:p>
        </w:tc>
        <w:tc>
          <w:tcPr>
            <w:tcW w:w="850" w:type="dxa"/>
          </w:tcPr>
          <w:p w:rsidR="00E97985" w:rsidRPr="000030BA" w:rsidRDefault="00B85CD6" w:rsidP="003C4B36">
            <w:pPr>
              <w:pStyle w:val="Rquotation"/>
              <w:tabs>
                <w:tab w:val="decimal" w:pos="460"/>
              </w:tabs>
              <w:spacing w:before="40" w:after="40" w:line="240" w:lineRule="auto"/>
              <w:ind w:left="0"/>
              <w:rPr>
                <w:rFonts w:cs="Arial"/>
                <w:sz w:val="22"/>
              </w:rPr>
            </w:pPr>
            <w:r>
              <w:rPr>
                <w:rFonts w:cs="Arial"/>
                <w:sz w:val="22"/>
              </w:rPr>
              <w:t>18</w:t>
            </w:r>
          </w:p>
        </w:tc>
        <w:tc>
          <w:tcPr>
            <w:tcW w:w="1134" w:type="dxa"/>
          </w:tcPr>
          <w:p w:rsidR="00E97985" w:rsidRPr="000030BA" w:rsidRDefault="00B85CD6" w:rsidP="003C4B36">
            <w:pPr>
              <w:pStyle w:val="Rquotation"/>
              <w:tabs>
                <w:tab w:val="decimal" w:pos="685"/>
              </w:tabs>
              <w:spacing w:before="40" w:after="40" w:line="240" w:lineRule="auto"/>
              <w:ind w:left="0"/>
              <w:rPr>
                <w:rFonts w:cs="Arial"/>
                <w:sz w:val="22"/>
              </w:rPr>
            </w:pPr>
            <w:r>
              <w:rPr>
                <w:rFonts w:cs="Arial"/>
                <w:sz w:val="22"/>
              </w:rPr>
              <w:t>117</w:t>
            </w:r>
          </w:p>
        </w:tc>
        <w:tc>
          <w:tcPr>
            <w:tcW w:w="709" w:type="dxa"/>
          </w:tcPr>
          <w:p w:rsidR="00E97985" w:rsidRPr="000030BA" w:rsidRDefault="00B85CD6" w:rsidP="003C4B36">
            <w:pPr>
              <w:pStyle w:val="Rquotation"/>
              <w:tabs>
                <w:tab w:val="decimal" w:pos="420"/>
              </w:tabs>
              <w:spacing w:before="40" w:after="40" w:line="240" w:lineRule="auto"/>
              <w:ind w:left="0"/>
              <w:rPr>
                <w:rFonts w:cs="Arial"/>
                <w:sz w:val="22"/>
              </w:rPr>
            </w:pPr>
            <w:r>
              <w:rPr>
                <w:rFonts w:cs="Arial"/>
                <w:sz w:val="22"/>
              </w:rPr>
              <w:t>61</w:t>
            </w:r>
          </w:p>
        </w:tc>
        <w:tc>
          <w:tcPr>
            <w:tcW w:w="708" w:type="dxa"/>
            <w:tcBorders>
              <w:bottom w:val="nil"/>
              <w:right w:val="nil"/>
            </w:tcBorders>
          </w:tcPr>
          <w:p w:rsidR="00E97985" w:rsidRPr="000030BA" w:rsidRDefault="0031456E" w:rsidP="003C4B36">
            <w:pPr>
              <w:pStyle w:val="Rquotation"/>
              <w:tabs>
                <w:tab w:val="decimal" w:pos="420"/>
              </w:tabs>
              <w:spacing w:before="40" w:after="40" w:line="240" w:lineRule="auto"/>
              <w:ind w:left="0"/>
              <w:rPr>
                <w:rFonts w:cs="Arial"/>
                <w:sz w:val="22"/>
              </w:rPr>
            </w:pPr>
          </w:p>
        </w:tc>
        <w:tc>
          <w:tcPr>
            <w:tcW w:w="853" w:type="dxa"/>
            <w:tcBorders>
              <w:left w:val="nil"/>
              <w:bottom w:val="nil"/>
            </w:tcBorders>
          </w:tcPr>
          <w:p w:rsidR="00E97985" w:rsidRPr="000030BA" w:rsidRDefault="0031456E" w:rsidP="003C4B36">
            <w:pPr>
              <w:pStyle w:val="Rquotation"/>
              <w:tabs>
                <w:tab w:val="decimal" w:pos="420"/>
              </w:tabs>
              <w:spacing w:before="40" w:after="40" w:line="240" w:lineRule="auto"/>
              <w:ind w:left="0"/>
              <w:rPr>
                <w:rFonts w:cs="Arial"/>
                <w:sz w:val="22"/>
              </w:rPr>
            </w:pPr>
          </w:p>
        </w:tc>
      </w:tr>
      <w:tr w:rsidR="009C1F4F" w:rsidTr="00E97985">
        <w:tc>
          <w:tcPr>
            <w:tcW w:w="1134" w:type="dxa"/>
            <w:tcBorders>
              <w:right w:val="nil"/>
            </w:tcBorders>
          </w:tcPr>
          <w:p w:rsidR="00E97985" w:rsidRPr="000030BA" w:rsidRDefault="0031456E" w:rsidP="003C4B36">
            <w:pPr>
              <w:pStyle w:val="Rquotation"/>
              <w:spacing w:before="40" w:after="40" w:line="240" w:lineRule="auto"/>
              <w:ind w:left="0"/>
              <w:rPr>
                <w:rFonts w:cs="Arial"/>
                <w:b/>
                <w:sz w:val="22"/>
              </w:rPr>
            </w:pPr>
          </w:p>
        </w:tc>
        <w:tc>
          <w:tcPr>
            <w:tcW w:w="1134" w:type="dxa"/>
            <w:tcBorders>
              <w:left w:val="nil"/>
            </w:tcBorders>
          </w:tcPr>
          <w:p w:rsidR="00E97985" w:rsidRPr="000030BA" w:rsidRDefault="00B85CD6" w:rsidP="003C4B36">
            <w:pPr>
              <w:pStyle w:val="Rquotation"/>
              <w:spacing w:before="40" w:after="40" w:line="240" w:lineRule="auto"/>
              <w:ind w:left="0"/>
              <w:rPr>
                <w:rFonts w:cs="Arial"/>
                <w:b/>
                <w:sz w:val="22"/>
              </w:rPr>
            </w:pPr>
            <w:r w:rsidRPr="000030BA">
              <w:rPr>
                <w:rFonts w:cs="Arial"/>
                <w:b/>
                <w:sz w:val="22"/>
              </w:rPr>
              <w:t>2018/19</w:t>
            </w:r>
          </w:p>
        </w:tc>
        <w:tc>
          <w:tcPr>
            <w:tcW w:w="850" w:type="dxa"/>
          </w:tcPr>
          <w:p w:rsidR="00E97985" w:rsidRPr="00511F5C" w:rsidRDefault="00B85CD6" w:rsidP="003C4B36">
            <w:pPr>
              <w:pStyle w:val="Rquotation"/>
              <w:tabs>
                <w:tab w:val="decimal" w:pos="604"/>
              </w:tabs>
              <w:spacing w:before="40" w:after="40" w:line="240" w:lineRule="auto"/>
              <w:ind w:left="0"/>
              <w:rPr>
                <w:rFonts w:cs="Arial"/>
                <w:sz w:val="22"/>
              </w:rPr>
            </w:pPr>
            <w:r>
              <w:rPr>
                <w:rFonts w:cs="Arial"/>
                <w:sz w:val="22"/>
              </w:rPr>
              <w:t>269</w:t>
            </w:r>
          </w:p>
        </w:tc>
        <w:tc>
          <w:tcPr>
            <w:tcW w:w="851" w:type="dxa"/>
          </w:tcPr>
          <w:p w:rsidR="00E97985" w:rsidRPr="000030BA" w:rsidRDefault="00B85CD6" w:rsidP="003C4B36">
            <w:pPr>
              <w:pStyle w:val="Rquotation"/>
              <w:tabs>
                <w:tab w:val="decimal" w:pos="513"/>
              </w:tabs>
              <w:spacing w:before="40" w:after="40" w:line="240" w:lineRule="auto"/>
              <w:ind w:left="0"/>
              <w:rPr>
                <w:rFonts w:cs="Arial"/>
                <w:sz w:val="22"/>
              </w:rPr>
            </w:pPr>
            <w:r>
              <w:rPr>
                <w:rFonts w:cs="Arial"/>
                <w:sz w:val="22"/>
              </w:rPr>
              <w:t>52%</w:t>
            </w:r>
          </w:p>
        </w:tc>
        <w:tc>
          <w:tcPr>
            <w:tcW w:w="850" w:type="dxa"/>
          </w:tcPr>
          <w:p w:rsidR="00E97985" w:rsidRPr="000030BA" w:rsidRDefault="00B85CD6" w:rsidP="003C4B36">
            <w:pPr>
              <w:pStyle w:val="Rquotation"/>
              <w:tabs>
                <w:tab w:val="decimal" w:pos="460"/>
              </w:tabs>
              <w:spacing w:before="40" w:after="40" w:line="240" w:lineRule="auto"/>
              <w:ind w:left="0"/>
              <w:rPr>
                <w:rFonts w:cs="Arial"/>
                <w:sz w:val="22"/>
              </w:rPr>
            </w:pPr>
            <w:r>
              <w:rPr>
                <w:rFonts w:cs="Arial"/>
                <w:sz w:val="22"/>
              </w:rPr>
              <w:t>17</w:t>
            </w:r>
          </w:p>
        </w:tc>
        <w:tc>
          <w:tcPr>
            <w:tcW w:w="1134" w:type="dxa"/>
          </w:tcPr>
          <w:p w:rsidR="00E97985" w:rsidRPr="000030BA" w:rsidRDefault="00B85CD6" w:rsidP="003C4B36">
            <w:pPr>
              <w:pStyle w:val="Rquotation"/>
              <w:tabs>
                <w:tab w:val="decimal" w:pos="685"/>
              </w:tabs>
              <w:spacing w:before="40" w:after="40" w:line="240" w:lineRule="auto"/>
              <w:ind w:left="0"/>
              <w:rPr>
                <w:rFonts w:cs="Arial"/>
                <w:sz w:val="22"/>
              </w:rPr>
            </w:pPr>
            <w:r>
              <w:rPr>
                <w:rFonts w:cs="Arial"/>
                <w:sz w:val="22"/>
              </w:rPr>
              <w:t>155</w:t>
            </w:r>
          </w:p>
        </w:tc>
        <w:tc>
          <w:tcPr>
            <w:tcW w:w="709" w:type="dxa"/>
          </w:tcPr>
          <w:p w:rsidR="00E97985" w:rsidRPr="000030BA" w:rsidRDefault="00B85CD6" w:rsidP="003C4B36">
            <w:pPr>
              <w:pStyle w:val="Rquotation"/>
              <w:tabs>
                <w:tab w:val="decimal" w:pos="420"/>
              </w:tabs>
              <w:spacing w:before="40" w:after="40" w:line="240" w:lineRule="auto"/>
              <w:ind w:left="0"/>
              <w:rPr>
                <w:rFonts w:cs="Arial"/>
                <w:sz w:val="22"/>
              </w:rPr>
            </w:pPr>
            <w:r>
              <w:rPr>
                <w:rFonts w:cs="Arial"/>
                <w:sz w:val="22"/>
              </w:rPr>
              <w:t>97</w:t>
            </w:r>
          </w:p>
        </w:tc>
        <w:tc>
          <w:tcPr>
            <w:tcW w:w="708" w:type="dxa"/>
            <w:tcBorders>
              <w:top w:val="nil"/>
              <w:bottom w:val="nil"/>
              <w:right w:val="nil"/>
            </w:tcBorders>
          </w:tcPr>
          <w:p w:rsidR="00E97985" w:rsidRDefault="0031456E" w:rsidP="003C4B36">
            <w:pPr>
              <w:pStyle w:val="Rquotation"/>
              <w:tabs>
                <w:tab w:val="decimal" w:pos="420"/>
              </w:tabs>
              <w:spacing w:before="40" w:after="40" w:line="240" w:lineRule="auto"/>
              <w:ind w:left="0"/>
              <w:rPr>
                <w:rFonts w:cs="Arial"/>
                <w:sz w:val="22"/>
              </w:rPr>
            </w:pPr>
          </w:p>
        </w:tc>
        <w:tc>
          <w:tcPr>
            <w:tcW w:w="853" w:type="dxa"/>
            <w:tcBorders>
              <w:top w:val="nil"/>
              <w:left w:val="nil"/>
              <w:bottom w:val="nil"/>
            </w:tcBorders>
          </w:tcPr>
          <w:p w:rsidR="00E97985" w:rsidRDefault="0031456E" w:rsidP="003C4B36">
            <w:pPr>
              <w:pStyle w:val="Rquotation"/>
              <w:tabs>
                <w:tab w:val="decimal" w:pos="420"/>
              </w:tabs>
              <w:spacing w:before="40" w:after="40" w:line="240" w:lineRule="auto"/>
              <w:ind w:left="0"/>
              <w:rPr>
                <w:rFonts w:cs="Arial"/>
                <w:sz w:val="22"/>
              </w:rPr>
            </w:pPr>
          </w:p>
        </w:tc>
      </w:tr>
      <w:tr w:rsidR="009C1F4F" w:rsidTr="00E97985">
        <w:tc>
          <w:tcPr>
            <w:tcW w:w="1134" w:type="dxa"/>
            <w:tcBorders>
              <w:right w:val="nil"/>
            </w:tcBorders>
          </w:tcPr>
          <w:p w:rsidR="00E97985" w:rsidRPr="000030BA" w:rsidRDefault="0031456E" w:rsidP="003C4B36">
            <w:pPr>
              <w:pStyle w:val="Rquotation"/>
              <w:spacing w:before="40" w:after="40" w:line="240" w:lineRule="auto"/>
              <w:ind w:left="0"/>
              <w:rPr>
                <w:rFonts w:cs="Arial"/>
                <w:b/>
                <w:sz w:val="22"/>
              </w:rPr>
            </w:pPr>
          </w:p>
        </w:tc>
        <w:tc>
          <w:tcPr>
            <w:tcW w:w="1134" w:type="dxa"/>
            <w:tcBorders>
              <w:left w:val="nil"/>
            </w:tcBorders>
          </w:tcPr>
          <w:p w:rsidR="00E97985" w:rsidRPr="000030BA" w:rsidRDefault="00B85CD6" w:rsidP="003C4B36">
            <w:pPr>
              <w:pStyle w:val="Rquotation"/>
              <w:spacing w:before="40" w:after="40" w:line="240" w:lineRule="auto"/>
              <w:ind w:left="0"/>
              <w:rPr>
                <w:rFonts w:cs="Arial"/>
                <w:b/>
                <w:sz w:val="22"/>
              </w:rPr>
            </w:pPr>
            <w:r w:rsidRPr="000030BA">
              <w:rPr>
                <w:rFonts w:cs="Arial"/>
                <w:b/>
                <w:sz w:val="22"/>
              </w:rPr>
              <w:t>2019/20</w:t>
            </w:r>
          </w:p>
        </w:tc>
        <w:tc>
          <w:tcPr>
            <w:tcW w:w="850" w:type="dxa"/>
          </w:tcPr>
          <w:p w:rsidR="00E97985" w:rsidRPr="00511F5C" w:rsidRDefault="00B85CD6" w:rsidP="003C4B36">
            <w:pPr>
              <w:pStyle w:val="Rquotation"/>
              <w:tabs>
                <w:tab w:val="decimal" w:pos="604"/>
              </w:tabs>
              <w:spacing w:before="40" w:after="40" w:line="240" w:lineRule="auto"/>
              <w:ind w:left="0"/>
              <w:rPr>
                <w:rFonts w:cs="Arial"/>
                <w:sz w:val="22"/>
              </w:rPr>
            </w:pPr>
            <w:r>
              <w:rPr>
                <w:rFonts w:cs="Arial"/>
                <w:sz w:val="22"/>
              </w:rPr>
              <w:t>57</w:t>
            </w:r>
          </w:p>
        </w:tc>
        <w:tc>
          <w:tcPr>
            <w:tcW w:w="851" w:type="dxa"/>
          </w:tcPr>
          <w:p w:rsidR="00E97985" w:rsidRPr="000030BA" w:rsidRDefault="00B85CD6" w:rsidP="003C4B36">
            <w:pPr>
              <w:pStyle w:val="Rquotation"/>
              <w:tabs>
                <w:tab w:val="decimal" w:pos="513"/>
              </w:tabs>
              <w:spacing w:before="40" w:after="40" w:line="240" w:lineRule="auto"/>
              <w:ind w:left="0"/>
              <w:rPr>
                <w:rFonts w:cs="Arial"/>
                <w:sz w:val="22"/>
              </w:rPr>
            </w:pPr>
            <w:r>
              <w:rPr>
                <w:rFonts w:cs="Arial"/>
                <w:sz w:val="22"/>
              </w:rPr>
              <w:t>11%</w:t>
            </w:r>
          </w:p>
        </w:tc>
        <w:tc>
          <w:tcPr>
            <w:tcW w:w="850" w:type="dxa"/>
          </w:tcPr>
          <w:p w:rsidR="00E97985" w:rsidRPr="000030BA" w:rsidRDefault="00B85CD6" w:rsidP="003C4B36">
            <w:pPr>
              <w:pStyle w:val="Rquotation"/>
              <w:tabs>
                <w:tab w:val="decimal" w:pos="460"/>
              </w:tabs>
              <w:spacing w:before="40" w:after="40" w:line="240" w:lineRule="auto"/>
              <w:ind w:left="0"/>
              <w:rPr>
                <w:rFonts w:cs="Arial"/>
                <w:sz w:val="22"/>
              </w:rPr>
            </w:pPr>
            <w:r>
              <w:rPr>
                <w:rFonts w:cs="Arial"/>
                <w:sz w:val="22"/>
              </w:rPr>
              <w:t>1</w:t>
            </w:r>
          </w:p>
        </w:tc>
        <w:tc>
          <w:tcPr>
            <w:tcW w:w="1134" w:type="dxa"/>
          </w:tcPr>
          <w:p w:rsidR="00E97985" w:rsidRPr="000030BA" w:rsidRDefault="00B85CD6" w:rsidP="003C4B36">
            <w:pPr>
              <w:pStyle w:val="Rquotation"/>
              <w:tabs>
                <w:tab w:val="decimal" w:pos="685"/>
              </w:tabs>
              <w:spacing w:before="40" w:after="40" w:line="240" w:lineRule="auto"/>
              <w:ind w:left="0"/>
              <w:rPr>
                <w:rFonts w:cs="Arial"/>
                <w:sz w:val="22"/>
              </w:rPr>
            </w:pPr>
            <w:r>
              <w:rPr>
                <w:rFonts w:cs="Arial"/>
                <w:sz w:val="22"/>
              </w:rPr>
              <w:t>24</w:t>
            </w:r>
          </w:p>
        </w:tc>
        <w:tc>
          <w:tcPr>
            <w:tcW w:w="709" w:type="dxa"/>
          </w:tcPr>
          <w:p w:rsidR="00E97985" w:rsidRPr="000030BA" w:rsidRDefault="00B85CD6" w:rsidP="003C4B36">
            <w:pPr>
              <w:pStyle w:val="Rquotation"/>
              <w:tabs>
                <w:tab w:val="decimal" w:pos="420"/>
              </w:tabs>
              <w:spacing w:before="40" w:after="40" w:line="240" w:lineRule="auto"/>
              <w:ind w:left="0"/>
              <w:rPr>
                <w:rFonts w:cs="Arial"/>
                <w:sz w:val="22"/>
              </w:rPr>
            </w:pPr>
            <w:r>
              <w:rPr>
                <w:rFonts w:cs="Arial"/>
                <w:sz w:val="22"/>
              </w:rPr>
              <w:t>32</w:t>
            </w:r>
          </w:p>
        </w:tc>
        <w:tc>
          <w:tcPr>
            <w:tcW w:w="708" w:type="dxa"/>
            <w:tcBorders>
              <w:top w:val="nil"/>
              <w:right w:val="nil"/>
            </w:tcBorders>
          </w:tcPr>
          <w:p w:rsidR="00E97985" w:rsidRDefault="0031456E" w:rsidP="003C4B36">
            <w:pPr>
              <w:pStyle w:val="Rquotation"/>
              <w:tabs>
                <w:tab w:val="decimal" w:pos="420"/>
              </w:tabs>
              <w:spacing w:before="40" w:after="40" w:line="240" w:lineRule="auto"/>
              <w:ind w:left="0"/>
              <w:rPr>
                <w:rFonts w:cs="Arial"/>
                <w:sz w:val="22"/>
              </w:rPr>
            </w:pPr>
          </w:p>
        </w:tc>
        <w:tc>
          <w:tcPr>
            <w:tcW w:w="853" w:type="dxa"/>
            <w:tcBorders>
              <w:top w:val="nil"/>
              <w:left w:val="nil"/>
            </w:tcBorders>
          </w:tcPr>
          <w:p w:rsidR="00E97985" w:rsidRDefault="0031456E" w:rsidP="003C4B36">
            <w:pPr>
              <w:pStyle w:val="Rquotation"/>
              <w:tabs>
                <w:tab w:val="decimal" w:pos="420"/>
              </w:tabs>
              <w:spacing w:before="40" w:after="40" w:line="240" w:lineRule="auto"/>
              <w:ind w:left="0"/>
              <w:rPr>
                <w:rFonts w:cs="Arial"/>
                <w:sz w:val="22"/>
              </w:rPr>
            </w:pPr>
          </w:p>
        </w:tc>
      </w:tr>
    </w:tbl>
    <w:p w:rsidR="00E9183C" w:rsidRDefault="00B85CD6" w:rsidP="00B4718D">
      <w:pPr>
        <w:numPr>
          <w:ilvl w:val="1"/>
          <w:numId w:val="1"/>
        </w:numPr>
        <w:spacing w:before="120" w:after="120"/>
      </w:pPr>
      <w:r>
        <w:rPr>
          <w:rFonts w:cs="Arial"/>
        </w:rPr>
        <w:t>During the year, managers have reported that a</w:t>
      </w:r>
      <w:r>
        <w:t xml:space="preserve">ll the actions agreed prior to </w:t>
      </w:r>
      <w:r w:rsidRPr="000E1FF9">
        <w:t>201</w:t>
      </w:r>
      <w:r>
        <w:t>8/19</w:t>
      </w:r>
      <w:r w:rsidRPr="000E1FF9">
        <w:t xml:space="preserve"> </w:t>
      </w:r>
      <w:r>
        <w:t>have been addressed or superseded.</w:t>
      </w:r>
      <w:r w:rsidRPr="00E9183C">
        <w:rPr>
          <w:rFonts w:cs="Arial"/>
        </w:rPr>
        <w:t xml:space="preserve"> Our work to </w:t>
      </w:r>
      <w:r>
        <w:rPr>
          <w:rFonts w:cs="Arial"/>
        </w:rPr>
        <w:t xml:space="preserve">obtain evidence that </w:t>
      </w:r>
      <w:r w:rsidRPr="00E9183C">
        <w:rPr>
          <w:rFonts w:cs="Arial"/>
        </w:rPr>
        <w:t>the action</w:t>
      </w:r>
      <w:r>
        <w:rPr>
          <w:rFonts w:cs="Arial"/>
        </w:rPr>
        <w:t>s</w:t>
      </w:r>
      <w:r w:rsidRPr="00E9183C">
        <w:rPr>
          <w:rFonts w:cs="Arial"/>
        </w:rPr>
        <w:t xml:space="preserve"> </w:t>
      </w:r>
      <w:r>
        <w:rPr>
          <w:rFonts w:cs="Arial"/>
        </w:rPr>
        <w:t xml:space="preserve">have been completed </w:t>
      </w:r>
      <w:r w:rsidRPr="00E9183C">
        <w:rPr>
          <w:rFonts w:cs="Arial"/>
        </w:rPr>
        <w:t xml:space="preserve">indicates that, </w:t>
      </w:r>
      <w:r>
        <w:rPr>
          <w:rFonts w:cs="Arial"/>
        </w:rPr>
        <w:t>until</w:t>
      </w:r>
      <w:r w:rsidRPr="00E9183C">
        <w:rPr>
          <w:rFonts w:cs="Arial"/>
        </w:rPr>
        <w:t xml:space="preserve"> March 2020, action was ge</w:t>
      </w:r>
      <w:r>
        <w:rPr>
          <w:rFonts w:cs="Arial"/>
        </w:rPr>
        <w:t>nerally being taken as intended</w:t>
      </w:r>
      <w:r>
        <w:t>.</w:t>
      </w:r>
    </w:p>
    <w:p w:rsidR="003054E2" w:rsidRDefault="00B85CD6">
      <w:pPr>
        <w:spacing w:before="0" w:after="0"/>
        <w:rPr>
          <w:rFonts w:cs="Arial"/>
          <w:b/>
          <w:bCs/>
          <w:kern w:val="32"/>
          <w:sz w:val="32"/>
          <w:szCs w:val="32"/>
        </w:rPr>
      </w:pPr>
      <w:r>
        <w:rPr>
          <w:rFonts w:cs="Arial"/>
        </w:rPr>
        <w:br w:type="page"/>
      </w:r>
    </w:p>
    <w:p w:rsidR="00462185" w:rsidRPr="0012646A" w:rsidRDefault="00B85CD6" w:rsidP="00462185">
      <w:pPr>
        <w:pStyle w:val="Heading1"/>
        <w:numPr>
          <w:ilvl w:val="0"/>
          <w:numId w:val="1"/>
        </w:numPr>
        <w:spacing w:after="120"/>
        <w:rPr>
          <w:rFonts w:ascii="Arial" w:hAnsi="Arial" w:cs="Arial"/>
        </w:rPr>
      </w:pPr>
      <w:r w:rsidRPr="0012646A">
        <w:rPr>
          <w:rFonts w:ascii="Arial" w:hAnsi="Arial" w:cs="Arial"/>
        </w:rPr>
        <w:lastRenderedPageBreak/>
        <w:t>Key issues and themes</w:t>
      </w:r>
    </w:p>
    <w:p w:rsidR="00C61FFD" w:rsidRDefault="00B85CD6" w:rsidP="00FB557D">
      <w:pPr>
        <w:numPr>
          <w:ilvl w:val="1"/>
          <w:numId w:val="1"/>
        </w:numPr>
        <w:spacing w:before="120" w:after="120"/>
        <w:rPr>
          <w:rFonts w:cs="Arial"/>
        </w:rPr>
      </w:pPr>
      <w:r>
        <w:rPr>
          <w:rFonts w:cs="Arial"/>
        </w:rPr>
        <w:t>The organisation's senior management team has stabilised following permanent appointments to each of the most senior and statutory posts</w:t>
      </w:r>
      <w:r w:rsidRPr="00B648A8">
        <w:rPr>
          <w:rFonts w:cs="Arial"/>
        </w:rPr>
        <w:t xml:space="preserve"> </w:t>
      </w:r>
      <w:r w:rsidRPr="0012646A">
        <w:rPr>
          <w:rFonts w:cs="Arial"/>
        </w:rPr>
        <w:t>during 2018/19.</w:t>
      </w:r>
    </w:p>
    <w:p w:rsidR="00187939" w:rsidRDefault="00B85CD6" w:rsidP="00FD1E7F">
      <w:pPr>
        <w:numPr>
          <w:ilvl w:val="1"/>
          <w:numId w:val="1"/>
        </w:numPr>
        <w:spacing w:before="120" w:after="120"/>
        <w:rPr>
          <w:rFonts w:cs="Arial"/>
        </w:rPr>
      </w:pPr>
      <w:r>
        <w:rPr>
          <w:rFonts w:cs="Arial"/>
        </w:rPr>
        <w:t xml:space="preserve">During the year </w:t>
      </w:r>
      <w:r>
        <w:t>a number of areas were subject to ongoing necessary improvement</w:t>
      </w:r>
      <w:r w:rsidRPr="008410D1">
        <w:t xml:space="preserve"> </w:t>
      </w:r>
      <w:r>
        <w:t>as well as additional cost-saving activity, and the council as a whole embarked on an 'improvement journey'; this is characteristic of any normal, ambitious organisation.</w:t>
      </w:r>
    </w:p>
    <w:p w:rsidR="001D795F" w:rsidRPr="001D795F" w:rsidRDefault="00B85CD6" w:rsidP="001D795F">
      <w:pPr>
        <w:numPr>
          <w:ilvl w:val="1"/>
          <w:numId w:val="1"/>
        </w:numPr>
        <w:spacing w:before="120" w:after="120"/>
        <w:rPr>
          <w:rFonts w:cs="Arial"/>
        </w:rPr>
      </w:pPr>
      <w:r>
        <w:rPr>
          <w:rFonts w:cs="Arial"/>
        </w:rPr>
        <w:t>Even before the onset of Covid-19 t</w:t>
      </w:r>
      <w:r w:rsidRPr="001D795F">
        <w:rPr>
          <w:rFonts w:cs="Arial"/>
        </w:rPr>
        <w:t xml:space="preserve">here </w:t>
      </w:r>
      <w:r>
        <w:rPr>
          <w:rFonts w:cs="Arial"/>
        </w:rPr>
        <w:t>we</w:t>
      </w:r>
      <w:r w:rsidRPr="001D795F">
        <w:rPr>
          <w:rFonts w:cs="Arial"/>
        </w:rPr>
        <w:t xml:space="preserve">re still considerable demands on the council's resources that put </w:t>
      </w:r>
      <w:r>
        <w:rPr>
          <w:rFonts w:cs="Arial"/>
        </w:rPr>
        <w:t xml:space="preserve">the </w:t>
      </w:r>
      <w:r w:rsidRPr="001D795F">
        <w:rPr>
          <w:rFonts w:cs="Arial"/>
        </w:rPr>
        <w:t>improvement of its services, systems and process</w:t>
      </w:r>
      <w:r>
        <w:rPr>
          <w:rFonts w:cs="Arial"/>
        </w:rPr>
        <w:t>es</w:t>
      </w:r>
      <w:r w:rsidRPr="001D795F">
        <w:rPr>
          <w:rFonts w:cs="Arial"/>
        </w:rPr>
        <w:t xml:space="preserve"> at risk. The need to support service improvements and cost savings with improvements in ICT systems in particular remains, and will be particularly challenging in the coming year as the council prepares for the return of the ICT Service from BT Lancashire Services Ltd.</w:t>
      </w:r>
    </w:p>
    <w:p w:rsidR="00130A16" w:rsidRPr="000347F1" w:rsidRDefault="00B85CD6" w:rsidP="00130A16">
      <w:pPr>
        <w:numPr>
          <w:ilvl w:val="1"/>
          <w:numId w:val="1"/>
        </w:numPr>
        <w:spacing w:before="120" w:after="120"/>
      </w:pPr>
      <w:r>
        <w:rPr>
          <w:rFonts w:cs="Arial"/>
        </w:rPr>
        <w:t>Until March 2020, t</w:t>
      </w:r>
      <w:r w:rsidRPr="0012646A">
        <w:rPr>
          <w:rFonts w:cs="Arial"/>
        </w:rPr>
        <w:t>h</w:t>
      </w:r>
      <w:r>
        <w:rPr>
          <w:rFonts w:cs="Arial"/>
        </w:rPr>
        <w:t xml:space="preserve">e council's financial position was beginning to stabilise. At that point the </w:t>
      </w:r>
      <w:r w:rsidRPr="000347F1">
        <w:t xml:space="preserve">2019/20 revenue forecast outturn </w:t>
      </w:r>
      <w:r>
        <w:t>wa</w:t>
      </w:r>
      <w:r w:rsidRPr="000347F1">
        <w:t>s projected to be £788.7 m</w:t>
      </w:r>
      <w:r>
        <w:t>illion, which represented</w:t>
      </w:r>
      <w:r w:rsidRPr="000347F1">
        <w:t xml:space="preserve"> an under-spend of £13.5 million, or 1.68% of the budget. In the longer term a deficit </w:t>
      </w:r>
      <w:r>
        <w:t>wa</w:t>
      </w:r>
      <w:r w:rsidRPr="000347F1">
        <w:t>s projected of £33.3 million in 2023/24</w:t>
      </w:r>
      <w:r>
        <w:t xml:space="preserve"> but the council held sufficient uncommitted reserves to cover this. Work was continuing to identify further savings, address the structural funding gap and </w:t>
      </w:r>
      <w:r w:rsidRPr="00030662">
        <w:t xml:space="preserve">reduce the need for support from reserves in </w:t>
      </w:r>
      <w:r>
        <w:t>the long term</w:t>
      </w:r>
      <w:r w:rsidRPr="00030662">
        <w:t>.</w:t>
      </w:r>
      <w:r>
        <w:t xml:space="preserve"> However it is unclear at this point what the council's financial position and prospects will be, nor what state its services will be in, when it emerges from the coronavirus pandemic.</w:t>
      </w:r>
    </w:p>
    <w:p w:rsidR="000579CB" w:rsidRDefault="00B85CD6" w:rsidP="000579CB">
      <w:pPr>
        <w:numPr>
          <w:ilvl w:val="1"/>
          <w:numId w:val="1"/>
        </w:numPr>
        <w:spacing w:before="120" w:after="120"/>
        <w:rPr>
          <w:rFonts w:cs="Arial"/>
        </w:rPr>
      </w:pPr>
      <w:r>
        <w:rPr>
          <w:rFonts w:cs="Arial"/>
        </w:rPr>
        <w:t>Again, d</w:t>
      </w:r>
      <w:r w:rsidRPr="0012646A">
        <w:rPr>
          <w:rFonts w:cs="Arial"/>
        </w:rPr>
        <w:t>espite the challenges facing managers across the council the Internal Audit Service has been welcomed and supported in undertaking our work</w:t>
      </w:r>
      <w:r>
        <w:rPr>
          <w:rFonts w:cs="Arial"/>
        </w:rPr>
        <w:t xml:space="preserve"> during 2019/20</w:t>
      </w:r>
      <w:r w:rsidRPr="0012646A">
        <w:rPr>
          <w:rFonts w:cs="Arial"/>
        </w:rPr>
        <w:t>. We have withdrawn from work in some areas where necessary whilst further action has been taken by management to understand the issues and plan the improvements still required bu</w:t>
      </w:r>
      <w:r>
        <w:rPr>
          <w:rFonts w:cs="Arial"/>
        </w:rPr>
        <w:t>t, overall, until March 2020 we have had access t</w:t>
      </w:r>
      <w:r w:rsidRPr="0012646A">
        <w:rPr>
          <w:rFonts w:cs="Arial"/>
        </w:rPr>
        <w:t>o services in every directorate.</w:t>
      </w:r>
    </w:p>
    <w:p w:rsidR="000579CB" w:rsidRDefault="00B85CD6" w:rsidP="000579CB">
      <w:pPr>
        <w:numPr>
          <w:ilvl w:val="1"/>
          <w:numId w:val="1"/>
        </w:numPr>
        <w:spacing w:before="120" w:after="120"/>
        <w:rPr>
          <w:rFonts w:cs="Arial"/>
        </w:rPr>
      </w:pPr>
      <w:r w:rsidRPr="00870147">
        <w:rPr>
          <w:rFonts w:cs="Arial"/>
        </w:rPr>
        <w:t xml:space="preserve">The assurance we have provided is largely favourable </w:t>
      </w:r>
      <w:r>
        <w:rPr>
          <w:rFonts w:cs="Arial"/>
        </w:rPr>
        <w:t xml:space="preserve">(since we have given substantial or moderate assurance over 75% of the services, systems or processes we have audited) </w:t>
      </w:r>
      <w:r w:rsidRPr="00870147">
        <w:rPr>
          <w:rFonts w:cs="Arial"/>
        </w:rPr>
        <w:t>and I have therefore been able to give moderate assurance overall</w:t>
      </w:r>
      <w:r>
        <w:rPr>
          <w:rFonts w:cs="Arial"/>
        </w:rPr>
        <w:t xml:space="preserve"> for the year.</w:t>
      </w:r>
    </w:p>
    <w:p w:rsidR="00462185" w:rsidRPr="0012646A" w:rsidRDefault="00B85CD6" w:rsidP="00462185">
      <w:pPr>
        <w:pStyle w:val="Heading1"/>
        <w:numPr>
          <w:ilvl w:val="0"/>
          <w:numId w:val="1"/>
        </w:numPr>
        <w:spacing w:after="120"/>
        <w:rPr>
          <w:rFonts w:ascii="Arial" w:hAnsi="Arial" w:cs="Arial"/>
        </w:rPr>
      </w:pPr>
      <w:r w:rsidRPr="0012646A">
        <w:rPr>
          <w:rFonts w:ascii="Arial" w:hAnsi="Arial" w:cs="Arial"/>
        </w:rPr>
        <w:t>Implications for the annual governance statement</w:t>
      </w:r>
    </w:p>
    <w:p w:rsidR="00185573" w:rsidRPr="000579CB" w:rsidRDefault="00B85CD6" w:rsidP="00185573">
      <w:pPr>
        <w:numPr>
          <w:ilvl w:val="1"/>
          <w:numId w:val="1"/>
        </w:numPr>
        <w:spacing w:before="120" w:after="120"/>
        <w:rPr>
          <w:rFonts w:cs="Arial"/>
        </w:rPr>
      </w:pPr>
      <w:r w:rsidRPr="0012646A">
        <w:rPr>
          <w:rFonts w:cs="Arial"/>
        </w:rPr>
        <w:t xml:space="preserve">In making its annual governance statement the council considers the head of internal audit's opinion in relation to its frameworks of governance, risk management and control. The council's annual governance statement </w:t>
      </w:r>
      <w:r>
        <w:rPr>
          <w:rFonts w:cs="Arial"/>
        </w:rPr>
        <w:t xml:space="preserve">for 2019/20 </w:t>
      </w:r>
      <w:r w:rsidRPr="0012646A">
        <w:rPr>
          <w:rFonts w:cs="Arial"/>
        </w:rPr>
        <w:t xml:space="preserve">should therefore reflect </w:t>
      </w:r>
      <w:r>
        <w:rPr>
          <w:rFonts w:cs="Arial"/>
        </w:rPr>
        <w:t xml:space="preserve">its positive response to </w:t>
      </w:r>
      <w:r w:rsidRPr="0012646A">
        <w:rPr>
          <w:rFonts w:cs="Arial"/>
        </w:rPr>
        <w:t>the continuing challenges presented by its financial position and projections; its continuing drive to make challenging cost reductions; the effects of cost reductions on its ability to operate adequate and effective controls to properly manage the risks to its objectives</w:t>
      </w:r>
      <w:r>
        <w:rPr>
          <w:rFonts w:cs="Arial"/>
        </w:rPr>
        <w:t>;</w:t>
      </w:r>
      <w:r w:rsidRPr="0012646A">
        <w:rPr>
          <w:rFonts w:cs="Arial"/>
        </w:rPr>
        <w:t xml:space="preserve"> and work to improve its core ICT systems.</w:t>
      </w:r>
    </w:p>
    <w:p w:rsidR="00462185" w:rsidRPr="0012646A" w:rsidRDefault="00B85CD6" w:rsidP="00462185">
      <w:pPr>
        <w:pStyle w:val="Heading1"/>
        <w:numPr>
          <w:ilvl w:val="0"/>
          <w:numId w:val="1"/>
        </w:numPr>
        <w:spacing w:after="120"/>
        <w:rPr>
          <w:rFonts w:ascii="Arial" w:hAnsi="Arial" w:cs="Arial"/>
        </w:rPr>
      </w:pPr>
      <w:r w:rsidRPr="0012646A">
        <w:rPr>
          <w:rFonts w:ascii="Arial" w:hAnsi="Arial" w:cs="Arial"/>
        </w:rPr>
        <w:lastRenderedPageBreak/>
        <w:t>Organisational independence</w:t>
      </w:r>
    </w:p>
    <w:p w:rsidR="00462185" w:rsidRPr="0012646A" w:rsidRDefault="00B85CD6" w:rsidP="00462185">
      <w:pPr>
        <w:numPr>
          <w:ilvl w:val="1"/>
          <w:numId w:val="1"/>
        </w:numPr>
        <w:spacing w:before="120" w:after="120"/>
        <w:rPr>
          <w:rFonts w:cs="Arial"/>
        </w:rPr>
      </w:pPr>
      <w:r w:rsidRPr="0012646A">
        <w:rPr>
          <w:rFonts w:cs="Arial"/>
        </w:rPr>
        <w:t>The Internal Audit Service has access to and support from the council's Corporate Management Team and is able to operate independen</w:t>
      </w:r>
      <w:r>
        <w:rPr>
          <w:rFonts w:cs="Arial"/>
        </w:rPr>
        <w:t>tly within the organisation, so ha</w:t>
      </w:r>
      <w:r w:rsidRPr="0012646A">
        <w:rPr>
          <w:rFonts w:cs="Arial"/>
        </w:rPr>
        <w:t xml:space="preserve">s </w:t>
      </w:r>
      <w:r>
        <w:rPr>
          <w:rFonts w:cs="Arial"/>
        </w:rPr>
        <w:t xml:space="preserve">been </w:t>
      </w:r>
      <w:r w:rsidRPr="0012646A">
        <w:rPr>
          <w:rFonts w:cs="Arial"/>
        </w:rPr>
        <w:t xml:space="preserve">able properly to fulfil its responsibilities. In accordance with its charter the service </w:t>
      </w:r>
      <w:r w:rsidRPr="0012646A">
        <w:rPr>
          <w:rFonts w:cs="Arial"/>
          <w:color w:val="000000"/>
        </w:rPr>
        <w:t xml:space="preserve">remains independent of the council's other functions and, with the exception of its support to management in relation to counter fraud work </w:t>
      </w:r>
      <w:r>
        <w:rPr>
          <w:rFonts w:cs="Arial"/>
          <w:color w:val="000000"/>
        </w:rPr>
        <w:t>and investigation</w:t>
      </w:r>
      <w:r w:rsidRPr="0012646A">
        <w:rPr>
          <w:rFonts w:cs="Arial"/>
          <w:color w:val="000000"/>
        </w:rPr>
        <w:t>, no member of the Internal Audit Service has any executive or operational responsibilities.</w:t>
      </w:r>
    </w:p>
    <w:p w:rsidR="00462185" w:rsidRPr="0012646A" w:rsidRDefault="00B85CD6" w:rsidP="00462185">
      <w:pPr>
        <w:numPr>
          <w:ilvl w:val="1"/>
          <w:numId w:val="1"/>
        </w:numPr>
        <w:spacing w:before="120" w:after="120"/>
        <w:rPr>
          <w:rFonts w:cs="Arial"/>
        </w:rPr>
      </w:pPr>
      <w:r w:rsidRPr="0012646A">
        <w:rPr>
          <w:rFonts w:cs="Arial"/>
          <w:color w:val="000000"/>
        </w:rPr>
        <w:t xml:space="preserve">The Internal Audit Service’s work programme and priorities are determined in consultation with the Corporate Management Team, the council's senior managers and the Audit, Risk and Governance Committee, but remain decisions for the head of internal audit. </w:t>
      </w:r>
      <w:r>
        <w:rPr>
          <w:rFonts w:cs="Arial"/>
          <w:color w:val="000000"/>
        </w:rPr>
        <w:t>I have</w:t>
      </w:r>
      <w:r w:rsidRPr="0012646A">
        <w:rPr>
          <w:rFonts w:cs="Arial"/>
          <w:color w:val="000000"/>
        </w:rPr>
        <w:t xml:space="preserve"> direct access to and freedom to report in </w:t>
      </w:r>
      <w:r>
        <w:rPr>
          <w:rFonts w:cs="Arial"/>
          <w:color w:val="000000"/>
        </w:rPr>
        <w:t xml:space="preserve">my own </w:t>
      </w:r>
      <w:r w:rsidRPr="0012646A">
        <w:rPr>
          <w:rFonts w:cs="Arial"/>
          <w:color w:val="000000"/>
        </w:rPr>
        <w:t>name and without fear or favour to all officers</w:t>
      </w:r>
      <w:r>
        <w:rPr>
          <w:rFonts w:cs="Arial"/>
          <w:color w:val="000000"/>
        </w:rPr>
        <w:t>,</w:t>
      </w:r>
      <w:r w:rsidRPr="0012646A">
        <w:rPr>
          <w:rFonts w:cs="Arial"/>
          <w:color w:val="000000"/>
        </w:rPr>
        <w:t xml:space="preserve"> and </w:t>
      </w:r>
      <w:r>
        <w:rPr>
          <w:rFonts w:cs="Arial"/>
          <w:color w:val="000000"/>
        </w:rPr>
        <w:t xml:space="preserve">to </w:t>
      </w:r>
      <w:r w:rsidRPr="0012646A">
        <w:rPr>
          <w:rFonts w:cs="Arial"/>
          <w:color w:val="000000"/>
        </w:rPr>
        <w:t>members</w:t>
      </w:r>
      <w:r>
        <w:rPr>
          <w:rFonts w:cs="Arial"/>
          <w:color w:val="000000"/>
        </w:rPr>
        <w:t xml:space="preserve"> of the Audit, Risk and Governance Committee</w:t>
      </w:r>
      <w:r w:rsidRPr="0012646A">
        <w:rPr>
          <w:rFonts w:cs="Arial"/>
          <w:color w:val="000000"/>
        </w:rPr>
        <w:t>.</w:t>
      </w:r>
    </w:p>
    <w:p w:rsidR="00462185" w:rsidRPr="0012646A" w:rsidRDefault="00B85CD6" w:rsidP="00462185">
      <w:pPr>
        <w:pStyle w:val="Heading1"/>
        <w:numPr>
          <w:ilvl w:val="0"/>
          <w:numId w:val="1"/>
        </w:numPr>
        <w:spacing w:after="120"/>
        <w:rPr>
          <w:rFonts w:ascii="Arial" w:hAnsi="Arial" w:cs="Arial"/>
        </w:rPr>
      </w:pPr>
      <w:bookmarkStart w:id="5" w:name="IA_work_undertaken"/>
      <w:r w:rsidRPr="0012646A">
        <w:rPr>
          <w:rFonts w:ascii="Arial" w:hAnsi="Arial" w:cs="Arial"/>
        </w:rPr>
        <w:t xml:space="preserve">Internal audit </w:t>
      </w:r>
      <w:bookmarkEnd w:id="5"/>
      <w:r w:rsidRPr="0012646A">
        <w:rPr>
          <w:rFonts w:ascii="Arial" w:hAnsi="Arial" w:cs="Arial"/>
        </w:rPr>
        <w:t>performance</w:t>
      </w:r>
    </w:p>
    <w:p w:rsidR="00462185" w:rsidRPr="0012646A" w:rsidRDefault="00B85CD6" w:rsidP="00462185">
      <w:pPr>
        <w:numPr>
          <w:ilvl w:val="1"/>
          <w:numId w:val="1"/>
        </w:numPr>
        <w:spacing w:before="120" w:after="120"/>
        <w:rPr>
          <w:rFonts w:cs="Arial"/>
        </w:rPr>
      </w:pPr>
      <w:r>
        <w:rPr>
          <w:rFonts w:cs="Arial"/>
        </w:rPr>
        <w:t>T</w:t>
      </w:r>
      <w:r w:rsidRPr="0012646A">
        <w:rPr>
          <w:rFonts w:cs="Arial"/>
        </w:rPr>
        <w:t xml:space="preserve">he </w:t>
      </w:r>
      <w:r>
        <w:rPr>
          <w:rFonts w:cs="Arial"/>
        </w:rPr>
        <w:t>Internal Audit S</w:t>
      </w:r>
      <w:r w:rsidRPr="0012646A">
        <w:rPr>
          <w:rFonts w:cs="Arial"/>
        </w:rPr>
        <w:t>ervice's establish</w:t>
      </w:r>
      <w:r>
        <w:rPr>
          <w:rFonts w:cs="Arial"/>
        </w:rPr>
        <w:t>ment is currently fully staffed by a team with growing experience. The service continues to work hard to reflect on its work and to improve its practice to meet both professional standards and our auditees' expectations.</w:t>
      </w:r>
    </w:p>
    <w:p w:rsidR="00462185" w:rsidRPr="0012646A" w:rsidRDefault="00B85CD6" w:rsidP="00462185">
      <w:pPr>
        <w:tabs>
          <w:tab w:val="left" w:pos="284"/>
        </w:tabs>
        <w:spacing w:before="120" w:after="120"/>
        <w:rPr>
          <w:rFonts w:cs="Arial"/>
          <w:b/>
        </w:rPr>
      </w:pPr>
      <w:r w:rsidRPr="0012646A">
        <w:rPr>
          <w:rFonts w:cs="Arial"/>
          <w:b/>
        </w:rPr>
        <w:t>Completion of</w:t>
      </w:r>
      <w:r>
        <w:rPr>
          <w:rFonts w:cs="Arial"/>
          <w:b/>
        </w:rPr>
        <w:t xml:space="preserve"> the internal audit plan 2019/20</w:t>
      </w:r>
    </w:p>
    <w:p w:rsidR="00462185" w:rsidRPr="0012646A" w:rsidRDefault="00B85CD6" w:rsidP="00462185">
      <w:pPr>
        <w:numPr>
          <w:ilvl w:val="1"/>
          <w:numId w:val="1"/>
        </w:numPr>
        <w:spacing w:before="120" w:after="120"/>
        <w:rPr>
          <w:rFonts w:cs="Arial"/>
        </w:rPr>
      </w:pPr>
      <w:r w:rsidRPr="0012646A">
        <w:rPr>
          <w:rFonts w:cs="Arial"/>
        </w:rPr>
        <w:t xml:space="preserve">The outputs of our audit work have been reported </w:t>
      </w:r>
      <w:r>
        <w:rPr>
          <w:rFonts w:cs="Arial"/>
        </w:rPr>
        <w:t xml:space="preserve">during the year </w:t>
      </w:r>
      <w:r w:rsidRPr="0012646A">
        <w:rPr>
          <w:rFonts w:cs="Arial"/>
        </w:rPr>
        <w:t>to the senior management teams of individual service areas, and the key themes arising for them and for the council as a whole are set out above.</w:t>
      </w:r>
    </w:p>
    <w:p w:rsidR="00A410D8" w:rsidRDefault="00B85CD6" w:rsidP="00462185">
      <w:pPr>
        <w:numPr>
          <w:ilvl w:val="1"/>
          <w:numId w:val="1"/>
        </w:numPr>
        <w:spacing w:before="120" w:after="120"/>
        <w:rPr>
          <w:rFonts w:cs="Arial"/>
        </w:rPr>
      </w:pPr>
      <w:r>
        <w:rPr>
          <w:rFonts w:cs="Arial"/>
        </w:rPr>
        <w:t xml:space="preserve">We </w:t>
      </w:r>
      <w:r w:rsidRPr="0012646A">
        <w:rPr>
          <w:rFonts w:cs="Arial"/>
        </w:rPr>
        <w:t xml:space="preserve">have provided assurance </w:t>
      </w:r>
      <w:r w:rsidRPr="003C4B36">
        <w:rPr>
          <w:rFonts w:cs="Arial"/>
        </w:rPr>
        <w:t xml:space="preserve">through 55 individual </w:t>
      </w:r>
      <w:r>
        <w:rPr>
          <w:rFonts w:cs="Arial"/>
        </w:rPr>
        <w:t>audit engagements (2018/19: 77</w:t>
      </w:r>
      <w:r w:rsidRPr="0012646A">
        <w:rPr>
          <w:rFonts w:cs="Arial"/>
        </w:rPr>
        <w:t xml:space="preserve">), as well as a number of other pieces of work that have not </w:t>
      </w:r>
      <w:r w:rsidRPr="003C4B36">
        <w:rPr>
          <w:rFonts w:cs="Arial"/>
        </w:rPr>
        <w:t xml:space="preserve">resulted in assurance opinions, and information about these is set out in Annexes A and B. This represents 65% of the original </w:t>
      </w:r>
      <w:r w:rsidRPr="0012646A">
        <w:rPr>
          <w:rFonts w:cs="Arial"/>
        </w:rPr>
        <w:t xml:space="preserve">plan </w:t>
      </w:r>
      <w:r>
        <w:rPr>
          <w:rFonts w:cs="Arial"/>
        </w:rPr>
        <w:t xml:space="preserve">approved in May 2019 because, although a small number of audits were added during the year, other audits have been </w:t>
      </w:r>
      <w:r w:rsidRPr="0012646A">
        <w:rPr>
          <w:rFonts w:cs="Arial"/>
        </w:rPr>
        <w:t>deferred</w:t>
      </w:r>
      <w:r>
        <w:rPr>
          <w:rFonts w:cs="Arial"/>
        </w:rPr>
        <w:t>,</w:t>
      </w:r>
      <w:r w:rsidRPr="0012646A">
        <w:rPr>
          <w:rFonts w:cs="Arial"/>
        </w:rPr>
        <w:t xml:space="preserve"> </w:t>
      </w:r>
      <w:r>
        <w:rPr>
          <w:rFonts w:cs="Arial"/>
        </w:rPr>
        <w:t xml:space="preserve">curtailed </w:t>
      </w:r>
      <w:r w:rsidRPr="0012646A">
        <w:rPr>
          <w:rFonts w:cs="Arial"/>
        </w:rPr>
        <w:t>and removed</w:t>
      </w:r>
      <w:r>
        <w:rPr>
          <w:rFonts w:cs="Arial"/>
        </w:rPr>
        <w:t xml:space="preserve"> around the end of the year in response to the onset of the coronavirus pandemic.</w:t>
      </w:r>
    </w:p>
    <w:p w:rsidR="00462185" w:rsidRPr="0012646A" w:rsidRDefault="00B85CD6" w:rsidP="00462185">
      <w:pPr>
        <w:tabs>
          <w:tab w:val="left" w:pos="284"/>
        </w:tabs>
        <w:spacing w:before="120" w:after="120"/>
        <w:rPr>
          <w:rFonts w:cs="Arial"/>
          <w:b/>
        </w:rPr>
      </w:pPr>
      <w:r w:rsidRPr="0012646A">
        <w:rPr>
          <w:rFonts w:cs="Arial"/>
          <w:b/>
        </w:rPr>
        <w:t>Client satisfaction</w:t>
      </w:r>
    </w:p>
    <w:p w:rsidR="00462185" w:rsidRPr="006854FC" w:rsidRDefault="00B85CD6" w:rsidP="00462185">
      <w:pPr>
        <w:numPr>
          <w:ilvl w:val="1"/>
          <w:numId w:val="1"/>
        </w:numPr>
        <w:spacing w:before="120" w:after="120"/>
        <w:rPr>
          <w:rFonts w:cs="Arial"/>
        </w:rPr>
      </w:pPr>
      <w:r w:rsidRPr="0012646A">
        <w:rPr>
          <w:rFonts w:cs="Arial"/>
        </w:rPr>
        <w:t xml:space="preserve">The Internal Audit Service has requested feedback from its auditees throughout the year as each audit </w:t>
      </w:r>
      <w:r>
        <w:rPr>
          <w:rFonts w:cs="Arial"/>
        </w:rPr>
        <w:t>engagement</w:t>
      </w:r>
      <w:r w:rsidRPr="0012646A">
        <w:rPr>
          <w:rFonts w:cs="Arial"/>
        </w:rPr>
        <w:t xml:space="preserve"> has been completed. This has again </w:t>
      </w:r>
      <w:r w:rsidRPr="006854FC">
        <w:rPr>
          <w:rFonts w:cs="Arial"/>
        </w:rPr>
        <w:t>provided positive feedback about the conduct of our audit work and just a few helpful indications of practical matters for the team to consider in conducting its work.</w:t>
      </w:r>
    </w:p>
    <w:p w:rsidR="00462185" w:rsidRPr="006854FC" w:rsidRDefault="00B85CD6" w:rsidP="00462185">
      <w:pPr>
        <w:numPr>
          <w:ilvl w:val="1"/>
          <w:numId w:val="1"/>
        </w:numPr>
        <w:spacing w:before="120" w:after="120"/>
        <w:rPr>
          <w:rFonts w:cs="Arial"/>
        </w:rPr>
      </w:pPr>
      <w:r w:rsidRPr="006854FC">
        <w:rPr>
          <w:rFonts w:cs="Arial"/>
        </w:rPr>
        <w:t>We have received feedback on</w:t>
      </w:r>
      <w:r>
        <w:rPr>
          <w:rFonts w:cs="Arial"/>
        </w:rPr>
        <w:t xml:space="preserve"> 19 </w:t>
      </w:r>
      <w:r w:rsidRPr="006854FC">
        <w:rPr>
          <w:rFonts w:cs="Arial"/>
        </w:rPr>
        <w:t>of the audit engagements completed for the county council</w:t>
      </w:r>
      <w:r>
        <w:rPr>
          <w:rFonts w:cs="Arial"/>
        </w:rPr>
        <w:t xml:space="preserve"> and a further three for our external clients</w:t>
      </w:r>
      <w:r w:rsidRPr="00851991">
        <w:rPr>
          <w:rFonts w:cs="Arial"/>
        </w:rPr>
        <w:t xml:space="preserve"> </w:t>
      </w:r>
      <w:r>
        <w:rPr>
          <w:rFonts w:cs="Arial"/>
        </w:rPr>
        <w:t>relating to 2019/20, making 22 in total (2018/19</w:t>
      </w:r>
      <w:r w:rsidRPr="006854FC">
        <w:rPr>
          <w:rFonts w:cs="Arial"/>
        </w:rPr>
        <w:t>: 33)</w:t>
      </w:r>
      <w:r>
        <w:rPr>
          <w:rFonts w:cs="Arial"/>
        </w:rPr>
        <w:t>. A</w:t>
      </w:r>
      <w:r w:rsidRPr="006854FC">
        <w:rPr>
          <w:rFonts w:cs="Arial"/>
        </w:rPr>
        <w:t xml:space="preserve">lthough surveys </w:t>
      </w:r>
      <w:r>
        <w:rPr>
          <w:rFonts w:cs="Arial"/>
        </w:rPr>
        <w:t xml:space="preserve">were </w:t>
      </w:r>
      <w:r w:rsidRPr="006854FC">
        <w:rPr>
          <w:rFonts w:cs="Arial"/>
        </w:rPr>
        <w:t>sent for most completed audits</w:t>
      </w:r>
      <w:r>
        <w:rPr>
          <w:rFonts w:cs="Arial"/>
        </w:rPr>
        <w:t xml:space="preserve"> we have not solicited feedback on the audits completed at the end of the year</w:t>
      </w:r>
      <w:r w:rsidRPr="006854FC">
        <w:rPr>
          <w:rFonts w:cs="Arial"/>
        </w:rPr>
        <w:t>.</w:t>
      </w:r>
    </w:p>
    <w:p w:rsidR="00851991" w:rsidRDefault="00B85CD6" w:rsidP="00FD5B8B">
      <w:pPr>
        <w:numPr>
          <w:ilvl w:val="1"/>
          <w:numId w:val="1"/>
        </w:numPr>
        <w:spacing w:before="120" w:after="120"/>
        <w:rPr>
          <w:rFonts w:cs="Arial"/>
        </w:rPr>
      </w:pPr>
      <w:r>
        <w:rPr>
          <w:rFonts w:cs="Arial"/>
        </w:rPr>
        <w:t>Although we therefore have limited information, o</w:t>
      </w:r>
      <w:r w:rsidRPr="006854FC">
        <w:rPr>
          <w:rFonts w:cs="Arial"/>
        </w:rPr>
        <w:t xml:space="preserve">ur auditees have </w:t>
      </w:r>
      <w:r>
        <w:rPr>
          <w:rFonts w:cs="Arial"/>
        </w:rPr>
        <w:t xml:space="preserve">again </w:t>
      </w:r>
      <w:r w:rsidRPr="006854FC">
        <w:rPr>
          <w:rFonts w:cs="Arial"/>
        </w:rPr>
        <w:t>told us in every case that, overall, they were satisfied with the way w</w:t>
      </w:r>
      <w:r>
        <w:rPr>
          <w:rFonts w:cs="Arial"/>
        </w:rPr>
        <w:t>e conducted our work with them.</w:t>
      </w:r>
    </w:p>
    <w:p w:rsidR="00FD5B8B" w:rsidRDefault="00B85CD6" w:rsidP="00FD5B8B">
      <w:pPr>
        <w:numPr>
          <w:ilvl w:val="1"/>
          <w:numId w:val="1"/>
        </w:numPr>
        <w:spacing w:before="120" w:after="120"/>
        <w:rPr>
          <w:rFonts w:cs="Arial"/>
        </w:rPr>
      </w:pPr>
      <w:r w:rsidRPr="006854FC">
        <w:rPr>
          <w:rFonts w:cs="Arial"/>
        </w:rPr>
        <w:lastRenderedPageBreak/>
        <w:t xml:space="preserve">We also seek more detailed feedback in relation to our audit planning, the audit process and reporting, our behaviour, and our management and service to our auditees. Our auditees have judged our performance across all categories to be very good </w:t>
      </w:r>
      <w:r>
        <w:rPr>
          <w:rFonts w:cs="Arial"/>
        </w:rPr>
        <w:t xml:space="preserve">or good </w:t>
      </w:r>
      <w:r w:rsidRPr="006854FC">
        <w:rPr>
          <w:rFonts w:cs="Arial"/>
        </w:rPr>
        <w:t>i</w:t>
      </w:r>
      <w:r>
        <w:rPr>
          <w:rFonts w:cs="Arial"/>
        </w:rPr>
        <w:t xml:space="preserve">n </w:t>
      </w:r>
      <w:r w:rsidRPr="000E32BA">
        <w:rPr>
          <w:rFonts w:cs="Arial"/>
        </w:rPr>
        <w:t xml:space="preserve">86% </w:t>
      </w:r>
      <w:r>
        <w:rPr>
          <w:rFonts w:cs="Arial"/>
        </w:rPr>
        <w:t>of our audits (2018/19: 98%)</w:t>
      </w:r>
      <w:r w:rsidRPr="006854FC">
        <w:rPr>
          <w:rFonts w:cs="Arial"/>
        </w:rPr>
        <w:t>.</w:t>
      </w:r>
      <w:r>
        <w:rPr>
          <w:rFonts w:cs="Arial"/>
        </w:rPr>
        <w:t xml:space="preserve"> </w:t>
      </w:r>
      <w:r w:rsidRPr="00B70D5D">
        <w:rPr>
          <w:rFonts w:cs="Arial"/>
        </w:rPr>
        <w:t>Where we have rece</w:t>
      </w:r>
      <w:r>
        <w:rPr>
          <w:rFonts w:cs="Arial"/>
        </w:rPr>
        <w:t xml:space="preserve">ived less favourable feedback </w:t>
      </w:r>
      <w:r w:rsidRPr="00B70D5D">
        <w:rPr>
          <w:rFonts w:cs="Arial"/>
        </w:rPr>
        <w:t>we have discuss</w:t>
      </w:r>
      <w:r>
        <w:rPr>
          <w:rFonts w:cs="Arial"/>
        </w:rPr>
        <w:t>ed this both with our auditees</w:t>
      </w:r>
      <w:r w:rsidRPr="00B70D5D">
        <w:rPr>
          <w:rFonts w:cs="Arial"/>
        </w:rPr>
        <w:t xml:space="preserve"> and within the service</w:t>
      </w:r>
      <w:r>
        <w:rPr>
          <w:rFonts w:cs="Arial"/>
        </w:rPr>
        <w:t>.</w:t>
      </w:r>
    </w:p>
    <w:p w:rsidR="00462185" w:rsidRPr="0012646A" w:rsidRDefault="00B85CD6" w:rsidP="00462185">
      <w:pPr>
        <w:numPr>
          <w:ilvl w:val="0"/>
          <w:numId w:val="1"/>
        </w:numPr>
        <w:spacing w:before="120" w:after="120"/>
        <w:rPr>
          <w:rFonts w:cs="Arial"/>
          <w:b/>
          <w:sz w:val="28"/>
          <w:szCs w:val="28"/>
        </w:rPr>
      </w:pPr>
      <w:r w:rsidRPr="0012646A">
        <w:rPr>
          <w:rFonts w:cs="Arial"/>
          <w:b/>
          <w:sz w:val="28"/>
          <w:szCs w:val="28"/>
        </w:rPr>
        <w:t>Quality assurance and improvement programme</w:t>
      </w:r>
    </w:p>
    <w:p w:rsidR="00462185" w:rsidRPr="0012646A" w:rsidRDefault="00B85CD6" w:rsidP="00462185">
      <w:pPr>
        <w:numPr>
          <w:ilvl w:val="1"/>
          <w:numId w:val="1"/>
        </w:numPr>
        <w:autoSpaceDE w:val="0"/>
        <w:autoSpaceDN w:val="0"/>
        <w:adjustRightInd w:val="0"/>
        <w:spacing w:before="120" w:after="120"/>
        <w:rPr>
          <w:rFonts w:cs="Arial"/>
          <w:color w:val="000000"/>
        </w:rPr>
      </w:pPr>
      <w:r w:rsidRPr="0012646A">
        <w:rPr>
          <w:rFonts w:cs="Arial"/>
        </w:rPr>
        <w:t xml:space="preserve">The Internal Audit Service has established and regularly reviews a quality assurance and improvement programme. </w:t>
      </w:r>
      <w:r w:rsidRPr="0012646A">
        <w:rPr>
          <w:rFonts w:cs="Arial"/>
          <w:color w:val="000000"/>
        </w:rPr>
        <w:t>PSIAS requires that all aspects of internal audit activity are considered by a combination of ongoing internal monitoring, periodic self-assessments or internal assessments by others with sufficient knowledge, and independent external review at least once every five years.</w:t>
      </w:r>
    </w:p>
    <w:tbl>
      <w:tblPr>
        <w:tblStyle w:val="TableGrid"/>
        <w:tblW w:w="7938" w:type="dxa"/>
        <w:tblInd w:w="846" w:type="dxa"/>
        <w:tblLook w:val="04A0" w:firstRow="1" w:lastRow="0" w:firstColumn="1" w:lastColumn="0" w:noHBand="0" w:noVBand="1"/>
      </w:tblPr>
      <w:tblGrid>
        <w:gridCol w:w="4506"/>
        <w:gridCol w:w="1134"/>
        <w:gridCol w:w="1134"/>
        <w:gridCol w:w="1164"/>
      </w:tblGrid>
      <w:tr w:rsidR="009C1F4F" w:rsidTr="00375C95">
        <w:tc>
          <w:tcPr>
            <w:tcW w:w="4536" w:type="dxa"/>
            <w:tcBorders>
              <w:bottom w:val="single" w:sz="4" w:space="0" w:color="auto"/>
            </w:tcBorders>
            <w:shd w:val="clear" w:color="auto" w:fill="D9D9D9" w:themeFill="background1" w:themeFillShade="D9"/>
          </w:tcPr>
          <w:p w:rsidR="00462185" w:rsidRPr="00185573" w:rsidRDefault="00B85CD6" w:rsidP="003C4B36">
            <w:pPr>
              <w:autoSpaceDE w:val="0"/>
              <w:autoSpaceDN w:val="0"/>
              <w:adjustRightInd w:val="0"/>
              <w:spacing w:before="40" w:after="40" w:line="240" w:lineRule="auto"/>
              <w:rPr>
                <w:rFonts w:cs="Arial"/>
                <w:b/>
                <w:color w:val="000000"/>
              </w:rPr>
            </w:pPr>
            <w:r w:rsidRPr="00185573">
              <w:rPr>
                <w:rFonts w:cs="Arial"/>
                <w:b/>
                <w:color w:val="000000"/>
              </w:rPr>
              <w:t>Type of review</w:t>
            </w:r>
          </w:p>
        </w:tc>
        <w:tc>
          <w:tcPr>
            <w:tcW w:w="2268" w:type="dxa"/>
            <w:gridSpan w:val="2"/>
            <w:shd w:val="clear" w:color="auto" w:fill="D9D9D9" w:themeFill="background1" w:themeFillShade="D9"/>
          </w:tcPr>
          <w:p w:rsidR="00462185" w:rsidRPr="00185573" w:rsidRDefault="00B85CD6" w:rsidP="003C4B36">
            <w:pPr>
              <w:autoSpaceDE w:val="0"/>
              <w:autoSpaceDN w:val="0"/>
              <w:adjustRightInd w:val="0"/>
              <w:spacing w:before="40" w:after="40" w:line="240" w:lineRule="auto"/>
              <w:jc w:val="center"/>
              <w:rPr>
                <w:rFonts w:cs="Arial"/>
                <w:b/>
                <w:color w:val="000000"/>
              </w:rPr>
            </w:pPr>
            <w:r w:rsidRPr="00185573">
              <w:rPr>
                <w:rFonts w:cs="Arial"/>
                <w:b/>
                <w:color w:val="000000"/>
              </w:rPr>
              <w:t>Internal review</w:t>
            </w:r>
          </w:p>
        </w:tc>
        <w:tc>
          <w:tcPr>
            <w:tcW w:w="1134" w:type="dxa"/>
            <w:shd w:val="clear" w:color="auto" w:fill="D9D9D9" w:themeFill="background1" w:themeFillShade="D9"/>
          </w:tcPr>
          <w:p w:rsidR="00462185" w:rsidRPr="00185573" w:rsidRDefault="00B85CD6" w:rsidP="003C4B36">
            <w:pPr>
              <w:autoSpaceDE w:val="0"/>
              <w:autoSpaceDN w:val="0"/>
              <w:adjustRightInd w:val="0"/>
              <w:spacing w:before="40" w:after="40" w:line="240" w:lineRule="auto"/>
              <w:jc w:val="center"/>
              <w:rPr>
                <w:rFonts w:cs="Arial"/>
                <w:b/>
                <w:color w:val="000000"/>
              </w:rPr>
            </w:pPr>
            <w:r w:rsidRPr="00185573">
              <w:rPr>
                <w:rFonts w:cs="Arial"/>
                <w:b/>
                <w:color w:val="000000"/>
              </w:rPr>
              <w:t>External review</w:t>
            </w:r>
          </w:p>
        </w:tc>
      </w:tr>
      <w:tr w:rsidR="009C1F4F" w:rsidTr="00375C95">
        <w:tc>
          <w:tcPr>
            <w:tcW w:w="4536" w:type="dxa"/>
            <w:tcBorders>
              <w:top w:val="single" w:sz="4" w:space="0" w:color="auto"/>
            </w:tcBorders>
            <w:shd w:val="clear" w:color="auto" w:fill="F2F2F2" w:themeFill="background1" w:themeFillShade="F2"/>
          </w:tcPr>
          <w:p w:rsidR="00462185" w:rsidRPr="00375C95" w:rsidRDefault="00B85CD6" w:rsidP="003C4B36">
            <w:pPr>
              <w:autoSpaceDE w:val="0"/>
              <w:autoSpaceDN w:val="0"/>
              <w:adjustRightInd w:val="0"/>
              <w:spacing w:before="40" w:after="40" w:line="240" w:lineRule="auto"/>
              <w:rPr>
                <w:rFonts w:cs="Arial"/>
                <w:b/>
                <w:color w:val="000000"/>
              </w:rPr>
            </w:pPr>
            <w:r w:rsidRPr="00375C95">
              <w:rPr>
                <w:rFonts w:cs="Arial"/>
                <w:b/>
                <w:color w:val="000000"/>
              </w:rPr>
              <w:t>Frequency</w:t>
            </w:r>
          </w:p>
        </w:tc>
        <w:tc>
          <w:tcPr>
            <w:tcW w:w="1134" w:type="dxa"/>
            <w:shd w:val="clear" w:color="auto" w:fill="F2F2F2" w:themeFill="background1" w:themeFillShade="F2"/>
          </w:tcPr>
          <w:p w:rsidR="00462185" w:rsidRPr="00185573" w:rsidRDefault="00B85CD6" w:rsidP="003C4B36">
            <w:pPr>
              <w:autoSpaceDE w:val="0"/>
              <w:autoSpaceDN w:val="0"/>
              <w:adjustRightInd w:val="0"/>
              <w:spacing w:before="40" w:after="40" w:line="240" w:lineRule="auto"/>
              <w:jc w:val="center"/>
              <w:rPr>
                <w:rFonts w:cs="Arial"/>
                <w:color w:val="000000"/>
              </w:rPr>
            </w:pPr>
            <w:r w:rsidRPr="00185573">
              <w:rPr>
                <w:rFonts w:cs="Arial"/>
                <w:color w:val="000000"/>
              </w:rPr>
              <w:t>Ongoing</w:t>
            </w:r>
          </w:p>
        </w:tc>
        <w:tc>
          <w:tcPr>
            <w:tcW w:w="1134" w:type="dxa"/>
            <w:shd w:val="clear" w:color="auto" w:fill="F2F2F2" w:themeFill="background1" w:themeFillShade="F2"/>
          </w:tcPr>
          <w:p w:rsidR="00462185" w:rsidRPr="00185573" w:rsidRDefault="00B85CD6" w:rsidP="003C4B36">
            <w:pPr>
              <w:autoSpaceDE w:val="0"/>
              <w:autoSpaceDN w:val="0"/>
              <w:adjustRightInd w:val="0"/>
              <w:spacing w:before="40" w:after="40" w:line="240" w:lineRule="auto"/>
              <w:jc w:val="center"/>
              <w:rPr>
                <w:rFonts w:cs="Arial"/>
                <w:color w:val="000000"/>
              </w:rPr>
            </w:pPr>
            <w:r w:rsidRPr="00185573">
              <w:rPr>
                <w:rFonts w:cs="Arial"/>
                <w:color w:val="000000"/>
              </w:rPr>
              <w:t>Periodic</w:t>
            </w:r>
          </w:p>
        </w:tc>
        <w:tc>
          <w:tcPr>
            <w:tcW w:w="1134" w:type="dxa"/>
            <w:shd w:val="clear" w:color="auto" w:fill="F2F2F2" w:themeFill="background1" w:themeFillShade="F2"/>
          </w:tcPr>
          <w:p w:rsidR="00462185" w:rsidRPr="00185573" w:rsidRDefault="00B85CD6" w:rsidP="003C4B36">
            <w:pPr>
              <w:autoSpaceDE w:val="0"/>
              <w:autoSpaceDN w:val="0"/>
              <w:adjustRightInd w:val="0"/>
              <w:spacing w:before="40" w:after="40" w:line="240" w:lineRule="auto"/>
              <w:jc w:val="center"/>
              <w:rPr>
                <w:rFonts w:cs="Arial"/>
                <w:color w:val="000000"/>
              </w:rPr>
            </w:pPr>
            <w:r w:rsidRPr="00185573">
              <w:rPr>
                <w:rFonts w:cs="Arial"/>
                <w:color w:val="000000"/>
              </w:rPr>
              <w:t>5-yearly</w:t>
            </w:r>
          </w:p>
        </w:tc>
      </w:tr>
      <w:tr w:rsidR="009C1F4F" w:rsidTr="00375C95">
        <w:trPr>
          <w:trHeight w:val="384"/>
        </w:trPr>
        <w:tc>
          <w:tcPr>
            <w:tcW w:w="4536" w:type="dxa"/>
            <w:shd w:val="clear" w:color="auto" w:fill="F2F2F2" w:themeFill="background1" w:themeFillShade="F2"/>
          </w:tcPr>
          <w:p w:rsidR="00462185" w:rsidRPr="00185573" w:rsidRDefault="00B85CD6" w:rsidP="003C4B36">
            <w:pPr>
              <w:autoSpaceDE w:val="0"/>
              <w:autoSpaceDN w:val="0"/>
              <w:adjustRightInd w:val="0"/>
              <w:spacing w:before="40" w:after="40" w:line="240" w:lineRule="auto"/>
              <w:rPr>
                <w:rFonts w:cs="Arial"/>
                <w:color w:val="000000"/>
              </w:rPr>
            </w:pPr>
            <w:r w:rsidRPr="00185573">
              <w:rPr>
                <w:rFonts w:cs="Arial"/>
                <w:color w:val="000000"/>
              </w:rPr>
              <w:t xml:space="preserve">Audit </w:t>
            </w:r>
            <w:r>
              <w:rPr>
                <w:rFonts w:cs="Arial"/>
                <w:color w:val="000000"/>
              </w:rPr>
              <w:t>engagement</w:t>
            </w:r>
            <w:r w:rsidRPr="00185573">
              <w:rPr>
                <w:rFonts w:cs="Arial"/>
                <w:color w:val="000000"/>
              </w:rPr>
              <w:t xml:space="preserve"> quality</w:t>
            </w:r>
          </w:p>
        </w:tc>
        <w:tc>
          <w:tcPr>
            <w:tcW w:w="1134" w:type="dxa"/>
            <w:vAlign w:val="center"/>
          </w:tcPr>
          <w:p w:rsidR="00462185" w:rsidRPr="00185573" w:rsidRDefault="00B85CD6" w:rsidP="003C4B36">
            <w:pPr>
              <w:autoSpaceDE w:val="0"/>
              <w:autoSpaceDN w:val="0"/>
              <w:adjustRightInd w:val="0"/>
              <w:spacing w:before="40" w:after="40" w:line="240" w:lineRule="auto"/>
              <w:jc w:val="center"/>
              <w:rPr>
                <w:rFonts w:cs="Arial"/>
                <w:color w:val="000000"/>
              </w:rPr>
            </w:pPr>
            <w:r w:rsidRPr="00185573">
              <w:rPr>
                <w:rFonts w:ascii="Wingdings" w:hAnsi="Wingdings" w:cs="Arial"/>
                <w:color w:val="000000"/>
              </w:rPr>
              <w:sym w:font="Wingdings" w:char="F0FC"/>
            </w:r>
          </w:p>
        </w:tc>
        <w:tc>
          <w:tcPr>
            <w:tcW w:w="1134" w:type="dxa"/>
            <w:vAlign w:val="center"/>
          </w:tcPr>
          <w:p w:rsidR="00462185" w:rsidRPr="00185573" w:rsidRDefault="0031456E" w:rsidP="003C4B36">
            <w:pPr>
              <w:autoSpaceDE w:val="0"/>
              <w:autoSpaceDN w:val="0"/>
              <w:adjustRightInd w:val="0"/>
              <w:spacing w:before="40" w:after="40" w:line="240" w:lineRule="auto"/>
              <w:jc w:val="center"/>
              <w:rPr>
                <w:rFonts w:cs="Arial"/>
                <w:color w:val="000000"/>
              </w:rPr>
            </w:pPr>
          </w:p>
        </w:tc>
        <w:tc>
          <w:tcPr>
            <w:tcW w:w="1134" w:type="dxa"/>
            <w:vAlign w:val="center"/>
          </w:tcPr>
          <w:p w:rsidR="00462185" w:rsidRPr="00185573" w:rsidRDefault="00B85CD6" w:rsidP="003C4B36">
            <w:pPr>
              <w:autoSpaceDE w:val="0"/>
              <w:autoSpaceDN w:val="0"/>
              <w:adjustRightInd w:val="0"/>
              <w:spacing w:before="40" w:after="40" w:line="240" w:lineRule="auto"/>
              <w:jc w:val="center"/>
              <w:rPr>
                <w:rFonts w:cs="Arial"/>
                <w:color w:val="000000"/>
              </w:rPr>
            </w:pPr>
            <w:r w:rsidRPr="00185573">
              <w:rPr>
                <w:rFonts w:ascii="Wingdings" w:hAnsi="Wingdings" w:cs="Arial"/>
                <w:color w:val="000000"/>
              </w:rPr>
              <w:sym w:font="Wingdings" w:char="F0FC"/>
            </w:r>
          </w:p>
        </w:tc>
      </w:tr>
      <w:tr w:rsidR="009C1F4F" w:rsidTr="00375C95">
        <w:trPr>
          <w:trHeight w:val="266"/>
        </w:trPr>
        <w:tc>
          <w:tcPr>
            <w:tcW w:w="4536" w:type="dxa"/>
            <w:shd w:val="clear" w:color="auto" w:fill="F2F2F2" w:themeFill="background1" w:themeFillShade="F2"/>
          </w:tcPr>
          <w:p w:rsidR="00462185" w:rsidRPr="00185573" w:rsidRDefault="00B85CD6" w:rsidP="003C4B36">
            <w:pPr>
              <w:autoSpaceDE w:val="0"/>
              <w:autoSpaceDN w:val="0"/>
              <w:adjustRightInd w:val="0"/>
              <w:spacing w:before="40" w:after="40" w:line="240" w:lineRule="auto"/>
              <w:rPr>
                <w:rFonts w:cs="Arial"/>
                <w:color w:val="000000"/>
              </w:rPr>
            </w:pPr>
            <w:r w:rsidRPr="00185573">
              <w:rPr>
                <w:rFonts w:cs="Arial"/>
                <w:color w:val="000000"/>
              </w:rPr>
              <w:t>Professional and operational framework</w:t>
            </w:r>
          </w:p>
        </w:tc>
        <w:tc>
          <w:tcPr>
            <w:tcW w:w="1134" w:type="dxa"/>
            <w:vAlign w:val="center"/>
          </w:tcPr>
          <w:p w:rsidR="00462185" w:rsidRPr="00185573" w:rsidRDefault="0031456E" w:rsidP="003C4B36">
            <w:pPr>
              <w:autoSpaceDE w:val="0"/>
              <w:autoSpaceDN w:val="0"/>
              <w:adjustRightInd w:val="0"/>
              <w:spacing w:before="40" w:after="40" w:line="240" w:lineRule="auto"/>
              <w:jc w:val="center"/>
              <w:rPr>
                <w:rFonts w:cs="Arial"/>
                <w:color w:val="000000"/>
              </w:rPr>
            </w:pPr>
          </w:p>
        </w:tc>
        <w:tc>
          <w:tcPr>
            <w:tcW w:w="1134" w:type="dxa"/>
            <w:vAlign w:val="center"/>
          </w:tcPr>
          <w:p w:rsidR="00462185" w:rsidRPr="00185573" w:rsidRDefault="00B85CD6" w:rsidP="003C4B36">
            <w:pPr>
              <w:autoSpaceDE w:val="0"/>
              <w:autoSpaceDN w:val="0"/>
              <w:adjustRightInd w:val="0"/>
              <w:spacing w:before="40" w:after="40" w:line="240" w:lineRule="auto"/>
              <w:jc w:val="center"/>
              <w:rPr>
                <w:rFonts w:cs="Arial"/>
                <w:color w:val="000000"/>
              </w:rPr>
            </w:pPr>
            <w:r w:rsidRPr="00185573">
              <w:rPr>
                <w:rFonts w:ascii="Wingdings" w:hAnsi="Wingdings" w:cs="Arial"/>
                <w:color w:val="000000"/>
              </w:rPr>
              <w:sym w:font="Wingdings" w:char="F0FC"/>
            </w:r>
          </w:p>
        </w:tc>
        <w:tc>
          <w:tcPr>
            <w:tcW w:w="1134" w:type="dxa"/>
            <w:vAlign w:val="center"/>
          </w:tcPr>
          <w:p w:rsidR="00462185" w:rsidRPr="00185573" w:rsidRDefault="00B85CD6" w:rsidP="003C4B36">
            <w:pPr>
              <w:autoSpaceDE w:val="0"/>
              <w:autoSpaceDN w:val="0"/>
              <w:adjustRightInd w:val="0"/>
              <w:spacing w:before="40" w:after="40" w:line="240" w:lineRule="auto"/>
              <w:jc w:val="center"/>
              <w:rPr>
                <w:rFonts w:cs="Arial"/>
                <w:color w:val="000000"/>
              </w:rPr>
            </w:pPr>
            <w:r w:rsidRPr="00185573">
              <w:rPr>
                <w:rFonts w:ascii="Wingdings" w:hAnsi="Wingdings" w:cs="Arial"/>
                <w:color w:val="000000"/>
              </w:rPr>
              <w:sym w:font="Wingdings" w:char="F0FC"/>
            </w:r>
          </w:p>
        </w:tc>
      </w:tr>
    </w:tbl>
    <w:p w:rsidR="00462185" w:rsidRPr="0012646A" w:rsidRDefault="00B85CD6" w:rsidP="00462185">
      <w:pPr>
        <w:numPr>
          <w:ilvl w:val="1"/>
          <w:numId w:val="1"/>
        </w:numPr>
        <w:autoSpaceDE w:val="0"/>
        <w:autoSpaceDN w:val="0"/>
        <w:adjustRightInd w:val="0"/>
        <w:spacing w:before="120" w:after="120"/>
        <w:rPr>
          <w:rFonts w:cs="Arial"/>
          <w:color w:val="000000"/>
        </w:rPr>
      </w:pPr>
      <w:r w:rsidRPr="0012646A">
        <w:rPr>
          <w:rFonts w:cs="Arial"/>
          <w:color w:val="000000"/>
        </w:rPr>
        <w:t>Following this framework, the</w:t>
      </w:r>
      <w:r w:rsidRPr="0012646A">
        <w:rPr>
          <w:rFonts w:cs="Arial"/>
        </w:rPr>
        <w:t xml:space="preserve"> Internal Audit Service's</w:t>
      </w:r>
      <w:r w:rsidRPr="0012646A">
        <w:rPr>
          <w:rFonts w:cs="Arial"/>
          <w:color w:val="000000"/>
        </w:rPr>
        <w:t xml:space="preserve"> quality assurance and improvement programme consists of internal ongoing monitoring of audit </w:t>
      </w:r>
      <w:r>
        <w:rPr>
          <w:rFonts w:cs="Arial"/>
          <w:color w:val="000000"/>
        </w:rPr>
        <w:t>engagement</w:t>
      </w:r>
      <w:r w:rsidRPr="0012646A">
        <w:rPr>
          <w:rFonts w:cs="Arial"/>
          <w:color w:val="000000"/>
        </w:rPr>
        <w:t xml:space="preserve"> quality, periodic internal assessment of the professional and operational framework, and external review.</w:t>
      </w:r>
    </w:p>
    <w:p w:rsidR="00462185" w:rsidRPr="0012646A" w:rsidRDefault="00B85CD6" w:rsidP="00462185">
      <w:pPr>
        <w:tabs>
          <w:tab w:val="left" w:pos="284"/>
        </w:tabs>
        <w:spacing w:before="120" w:after="120"/>
        <w:rPr>
          <w:rFonts w:cs="Arial"/>
          <w:b/>
        </w:rPr>
      </w:pPr>
      <w:r w:rsidRPr="0012646A">
        <w:rPr>
          <w:rFonts w:cs="Arial"/>
          <w:b/>
        </w:rPr>
        <w:t>External review</w:t>
      </w:r>
    </w:p>
    <w:p w:rsidR="00462185" w:rsidRPr="0012646A" w:rsidRDefault="00B85CD6" w:rsidP="00462185">
      <w:pPr>
        <w:numPr>
          <w:ilvl w:val="1"/>
          <w:numId w:val="1"/>
        </w:numPr>
        <w:spacing w:before="120" w:after="120"/>
        <w:rPr>
          <w:rFonts w:cs="Arial"/>
        </w:rPr>
      </w:pPr>
      <w:r w:rsidRPr="0012646A">
        <w:rPr>
          <w:rFonts w:cs="Arial"/>
        </w:rPr>
        <w:t>The findings of the last external quality assessment undertaken by the Chartered Institute of Internal Auditors were reported to the committee in January 2018. This confirmed that the Internal Audit Service 'generally conforms' to the full range of standards set out in the International Professional Practice Framework, PSIAS and Local Government Application Note. W</w:t>
      </w:r>
      <w:r>
        <w:rPr>
          <w:rFonts w:cs="Arial"/>
        </w:rPr>
        <w:t xml:space="preserve">e have worked to </w:t>
      </w:r>
      <w:r w:rsidRPr="0012646A">
        <w:rPr>
          <w:rFonts w:cs="Arial"/>
        </w:rPr>
        <w:t xml:space="preserve">address the few matters raised to improve </w:t>
      </w:r>
      <w:r>
        <w:rPr>
          <w:rFonts w:cs="Arial"/>
        </w:rPr>
        <w:t>the operation of the service, although continue to critically assess the potential to make further improvements</w:t>
      </w:r>
      <w:r w:rsidRPr="0012646A">
        <w:rPr>
          <w:rFonts w:cs="Arial"/>
        </w:rPr>
        <w:t>.</w:t>
      </w:r>
    </w:p>
    <w:p w:rsidR="00462185" w:rsidRDefault="00B85CD6" w:rsidP="00462185">
      <w:pPr>
        <w:numPr>
          <w:ilvl w:val="1"/>
          <w:numId w:val="1"/>
        </w:numPr>
        <w:spacing w:before="120" w:after="120"/>
        <w:rPr>
          <w:rFonts w:cs="Arial"/>
          <w:color w:val="000000"/>
        </w:rPr>
      </w:pPr>
      <w:r w:rsidRPr="0012646A">
        <w:rPr>
          <w:rFonts w:cs="Arial"/>
          <w:color w:val="000000"/>
        </w:rPr>
        <w:t>The review confirmed that the Internal Audit Service can say that its work has been in accordance with the International Professional Practices Framework, PSIAS and the Local Government Application Note.</w:t>
      </w:r>
    </w:p>
    <w:p w:rsidR="00462185" w:rsidRPr="0012646A" w:rsidRDefault="00B85CD6" w:rsidP="00462185">
      <w:pPr>
        <w:spacing w:before="120" w:after="120"/>
        <w:rPr>
          <w:rFonts w:cs="Arial"/>
          <w:b/>
        </w:rPr>
      </w:pPr>
      <w:r w:rsidRPr="0012646A">
        <w:rPr>
          <w:rFonts w:cs="Arial"/>
          <w:b/>
        </w:rPr>
        <w:t>Internal review</w:t>
      </w:r>
    </w:p>
    <w:p w:rsidR="00462185" w:rsidRPr="003C4B36" w:rsidRDefault="00B85CD6" w:rsidP="003C4B36">
      <w:pPr>
        <w:numPr>
          <w:ilvl w:val="1"/>
          <w:numId w:val="1"/>
        </w:numPr>
        <w:spacing w:before="120" w:after="120"/>
        <w:rPr>
          <w:rFonts w:cs="Arial"/>
        </w:rPr>
      </w:pPr>
      <w:r w:rsidRPr="0012646A">
        <w:rPr>
          <w:rFonts w:cs="Arial"/>
          <w:color w:val="000000"/>
        </w:rPr>
        <w:t>The Internal Audit Service has designed procedures and an audit methodology that conform to PSIAS and are regularly reviewed. Every auditor in the team is required to comply with these or document the reasons why not</w:t>
      </w:r>
      <w:r w:rsidRPr="0012646A">
        <w:rPr>
          <w:rFonts w:cs="Arial"/>
        </w:rPr>
        <w:t xml:space="preserve">, and to demonstrate this compliance on every audit </w:t>
      </w:r>
      <w:r>
        <w:rPr>
          <w:rFonts w:cs="Arial"/>
        </w:rPr>
        <w:t>engagement</w:t>
      </w:r>
      <w:r w:rsidRPr="0012646A">
        <w:rPr>
          <w:rFonts w:cs="Arial"/>
        </w:rPr>
        <w:t>. The audit managers assess the quality of each audit concurrently as it progresses, and a post-audit file review process has been undertaken. These reviews indicate that there is good evidence of compliance with our audit methodology and input from the audit managers to support the work of the auditors although, like last year, some learning points have been drawn out and shared with the team.</w:t>
      </w:r>
      <w:bookmarkEnd w:id="2"/>
      <w:bookmarkEnd w:id="3"/>
    </w:p>
    <w:sectPr w:rsidR="00462185" w:rsidRPr="003C4B36" w:rsidSect="007D71DD">
      <w:headerReference w:type="default" r:id="rId10"/>
      <w:footerReference w:type="default" r:id="rId11"/>
      <w:pgSz w:w="11907" w:h="16840" w:code="9"/>
      <w:pgMar w:top="1702" w:right="1701" w:bottom="1077" w:left="1418" w:header="709" w:footer="5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3F" w:rsidRDefault="00B85CD6">
      <w:pPr>
        <w:spacing w:before="0" w:after="0"/>
      </w:pPr>
      <w:r>
        <w:separator/>
      </w:r>
    </w:p>
  </w:endnote>
  <w:endnote w:type="continuationSeparator" w:id="0">
    <w:p w:rsidR="005F793F" w:rsidRDefault="00B85C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E0" w:rsidRPr="002725CE" w:rsidRDefault="0031456E">
    <w:pPr>
      <w:pStyle w:val="Footer"/>
      <w:framePr w:wrap="around" w:vAnchor="text" w:hAnchor="page" w:x="6118" w:y="202"/>
      <w:rPr>
        <w:rStyle w:val="PageNumber"/>
        <w:rFonts w:cs="Arial"/>
      </w:rPr>
    </w:pPr>
  </w:p>
  <w:p w:rsidR="00AE3CE0" w:rsidRDefault="0031456E" w:rsidP="00462185">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3F" w:rsidRDefault="00B85CD6">
      <w:pPr>
        <w:spacing w:before="0" w:after="0"/>
      </w:pPr>
      <w:r>
        <w:separator/>
      </w:r>
    </w:p>
  </w:footnote>
  <w:footnote w:type="continuationSeparator" w:id="0">
    <w:p w:rsidR="005F793F" w:rsidRDefault="00B85C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E1" w:rsidRPr="007541E1" w:rsidRDefault="00B85CD6" w:rsidP="007541E1">
    <w:pPr>
      <w:pStyle w:val="Header"/>
      <w:tabs>
        <w:tab w:val="clear" w:pos="4153"/>
        <w:tab w:val="clear" w:pos="8306"/>
      </w:tabs>
      <w:rPr>
        <w:rFonts w:cs="Arial"/>
        <w:b/>
      </w:rPr>
    </w:pPr>
    <w:r w:rsidRPr="007541E1">
      <w:rPr>
        <w:rFonts w:cs="Arial"/>
        <w:b/>
      </w:rPr>
      <w:t xml:space="preserve">Annual report </w:t>
    </w:r>
    <w:r>
      <w:rPr>
        <w:rFonts w:cs="Arial"/>
        <w:b/>
      </w:rPr>
      <w:t>for the year ended 31 March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4A3EEF"/>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3" w15:restartNumberingAfterBreak="0">
    <w:nsid w:val="1B430428"/>
    <w:multiLevelType w:val="hybridMultilevel"/>
    <w:tmpl w:val="8C8EA9C0"/>
    <w:lvl w:ilvl="0" w:tplc="E8DCC244">
      <w:start w:val="1"/>
      <w:numFmt w:val="bullet"/>
      <w:pStyle w:val="Ruth-bullet"/>
      <w:lvlText w:val=""/>
      <w:lvlJc w:val="left"/>
      <w:pPr>
        <w:ind w:left="720" w:hanging="360"/>
      </w:pPr>
      <w:rPr>
        <w:rFonts w:ascii="Symbol" w:hAnsi="Symbol" w:hint="default"/>
      </w:rPr>
    </w:lvl>
    <w:lvl w:ilvl="1" w:tplc="2430C700" w:tentative="1">
      <w:start w:val="1"/>
      <w:numFmt w:val="bullet"/>
      <w:lvlText w:val="o"/>
      <w:lvlJc w:val="left"/>
      <w:pPr>
        <w:ind w:left="1440" w:hanging="360"/>
      </w:pPr>
      <w:rPr>
        <w:rFonts w:ascii="Courier New" w:hAnsi="Courier New" w:hint="default"/>
      </w:rPr>
    </w:lvl>
    <w:lvl w:ilvl="2" w:tplc="DD968144" w:tentative="1">
      <w:start w:val="1"/>
      <w:numFmt w:val="bullet"/>
      <w:lvlText w:val=""/>
      <w:lvlJc w:val="left"/>
      <w:pPr>
        <w:ind w:left="2160" w:hanging="360"/>
      </w:pPr>
      <w:rPr>
        <w:rFonts w:ascii="Wingdings" w:hAnsi="Wingdings" w:hint="default"/>
      </w:rPr>
    </w:lvl>
    <w:lvl w:ilvl="3" w:tplc="8EDAAA4E" w:tentative="1">
      <w:start w:val="1"/>
      <w:numFmt w:val="bullet"/>
      <w:lvlText w:val=""/>
      <w:lvlJc w:val="left"/>
      <w:pPr>
        <w:ind w:left="2880" w:hanging="360"/>
      </w:pPr>
      <w:rPr>
        <w:rFonts w:ascii="Symbol" w:hAnsi="Symbol" w:hint="default"/>
      </w:rPr>
    </w:lvl>
    <w:lvl w:ilvl="4" w:tplc="F950398A" w:tentative="1">
      <w:start w:val="1"/>
      <w:numFmt w:val="bullet"/>
      <w:lvlText w:val="o"/>
      <w:lvlJc w:val="left"/>
      <w:pPr>
        <w:ind w:left="3600" w:hanging="360"/>
      </w:pPr>
      <w:rPr>
        <w:rFonts w:ascii="Courier New" w:hAnsi="Courier New" w:hint="default"/>
      </w:rPr>
    </w:lvl>
    <w:lvl w:ilvl="5" w:tplc="ECC600D2" w:tentative="1">
      <w:start w:val="1"/>
      <w:numFmt w:val="bullet"/>
      <w:lvlText w:val=""/>
      <w:lvlJc w:val="left"/>
      <w:pPr>
        <w:ind w:left="4320" w:hanging="360"/>
      </w:pPr>
      <w:rPr>
        <w:rFonts w:ascii="Wingdings" w:hAnsi="Wingdings" w:hint="default"/>
      </w:rPr>
    </w:lvl>
    <w:lvl w:ilvl="6" w:tplc="C7220A4E" w:tentative="1">
      <w:start w:val="1"/>
      <w:numFmt w:val="bullet"/>
      <w:lvlText w:val=""/>
      <w:lvlJc w:val="left"/>
      <w:pPr>
        <w:ind w:left="5040" w:hanging="360"/>
      </w:pPr>
      <w:rPr>
        <w:rFonts w:ascii="Symbol" w:hAnsi="Symbol" w:hint="default"/>
      </w:rPr>
    </w:lvl>
    <w:lvl w:ilvl="7" w:tplc="A30EE1B2" w:tentative="1">
      <w:start w:val="1"/>
      <w:numFmt w:val="bullet"/>
      <w:lvlText w:val="o"/>
      <w:lvlJc w:val="left"/>
      <w:pPr>
        <w:ind w:left="5760" w:hanging="360"/>
      </w:pPr>
      <w:rPr>
        <w:rFonts w:ascii="Courier New" w:hAnsi="Courier New" w:hint="default"/>
      </w:rPr>
    </w:lvl>
    <w:lvl w:ilvl="8" w:tplc="066E0DBA"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CE6C66"/>
    <w:multiLevelType w:val="hybridMultilevel"/>
    <w:tmpl w:val="86EEF170"/>
    <w:lvl w:ilvl="0" w:tplc="3096635A">
      <w:start w:val="1"/>
      <w:numFmt w:val="bullet"/>
      <w:lvlText w:val=""/>
      <w:lvlJc w:val="left"/>
      <w:pPr>
        <w:ind w:left="1571" w:hanging="360"/>
      </w:pPr>
      <w:rPr>
        <w:rFonts w:ascii="Symbol" w:hAnsi="Symbol" w:hint="default"/>
      </w:rPr>
    </w:lvl>
    <w:lvl w:ilvl="1" w:tplc="DD62B0EA" w:tentative="1">
      <w:start w:val="1"/>
      <w:numFmt w:val="bullet"/>
      <w:lvlText w:val="o"/>
      <w:lvlJc w:val="left"/>
      <w:pPr>
        <w:ind w:left="2291" w:hanging="360"/>
      </w:pPr>
      <w:rPr>
        <w:rFonts w:ascii="Courier New" w:hAnsi="Courier New" w:cs="Courier New" w:hint="default"/>
      </w:rPr>
    </w:lvl>
    <w:lvl w:ilvl="2" w:tplc="7EF4FC9C" w:tentative="1">
      <w:start w:val="1"/>
      <w:numFmt w:val="bullet"/>
      <w:lvlText w:val=""/>
      <w:lvlJc w:val="left"/>
      <w:pPr>
        <w:ind w:left="3011" w:hanging="360"/>
      </w:pPr>
      <w:rPr>
        <w:rFonts w:ascii="Wingdings" w:hAnsi="Wingdings" w:hint="default"/>
      </w:rPr>
    </w:lvl>
    <w:lvl w:ilvl="3" w:tplc="89D40498" w:tentative="1">
      <w:start w:val="1"/>
      <w:numFmt w:val="bullet"/>
      <w:lvlText w:val=""/>
      <w:lvlJc w:val="left"/>
      <w:pPr>
        <w:ind w:left="3731" w:hanging="360"/>
      </w:pPr>
      <w:rPr>
        <w:rFonts w:ascii="Symbol" w:hAnsi="Symbol" w:hint="default"/>
      </w:rPr>
    </w:lvl>
    <w:lvl w:ilvl="4" w:tplc="A870422A" w:tentative="1">
      <w:start w:val="1"/>
      <w:numFmt w:val="bullet"/>
      <w:lvlText w:val="o"/>
      <w:lvlJc w:val="left"/>
      <w:pPr>
        <w:ind w:left="4451" w:hanging="360"/>
      </w:pPr>
      <w:rPr>
        <w:rFonts w:ascii="Courier New" w:hAnsi="Courier New" w:cs="Courier New" w:hint="default"/>
      </w:rPr>
    </w:lvl>
    <w:lvl w:ilvl="5" w:tplc="B54A7468" w:tentative="1">
      <w:start w:val="1"/>
      <w:numFmt w:val="bullet"/>
      <w:lvlText w:val=""/>
      <w:lvlJc w:val="left"/>
      <w:pPr>
        <w:ind w:left="5171" w:hanging="360"/>
      </w:pPr>
      <w:rPr>
        <w:rFonts w:ascii="Wingdings" w:hAnsi="Wingdings" w:hint="default"/>
      </w:rPr>
    </w:lvl>
    <w:lvl w:ilvl="6" w:tplc="2D86E158" w:tentative="1">
      <w:start w:val="1"/>
      <w:numFmt w:val="bullet"/>
      <w:lvlText w:val=""/>
      <w:lvlJc w:val="left"/>
      <w:pPr>
        <w:ind w:left="5891" w:hanging="360"/>
      </w:pPr>
      <w:rPr>
        <w:rFonts w:ascii="Symbol" w:hAnsi="Symbol" w:hint="default"/>
      </w:rPr>
    </w:lvl>
    <w:lvl w:ilvl="7" w:tplc="9FB8DF9C" w:tentative="1">
      <w:start w:val="1"/>
      <w:numFmt w:val="bullet"/>
      <w:lvlText w:val="o"/>
      <w:lvlJc w:val="left"/>
      <w:pPr>
        <w:ind w:left="6611" w:hanging="360"/>
      </w:pPr>
      <w:rPr>
        <w:rFonts w:ascii="Courier New" w:hAnsi="Courier New" w:cs="Courier New" w:hint="default"/>
      </w:rPr>
    </w:lvl>
    <w:lvl w:ilvl="8" w:tplc="1E2A9D1E" w:tentative="1">
      <w:start w:val="1"/>
      <w:numFmt w:val="bullet"/>
      <w:lvlText w:val=""/>
      <w:lvlJc w:val="left"/>
      <w:pPr>
        <w:ind w:left="7331" w:hanging="360"/>
      </w:pPr>
      <w:rPr>
        <w:rFonts w:ascii="Wingdings" w:hAnsi="Wingdings" w:hint="default"/>
      </w:rPr>
    </w:lvl>
  </w:abstractNum>
  <w:abstractNum w:abstractNumId="6" w15:restartNumberingAfterBreak="0">
    <w:nsid w:val="3CDC74B4"/>
    <w:multiLevelType w:val="multilevel"/>
    <w:tmpl w:val="71A684E0"/>
    <w:lvl w:ilvl="0">
      <w:start w:val="1"/>
      <w:numFmt w:val="decimal"/>
      <w:pStyle w:val="Ruth-headingnumbered"/>
      <w:lvlText w:val="%1."/>
      <w:lvlJc w:val="left"/>
      <w:pPr>
        <w:ind w:left="360" w:hanging="360"/>
      </w:pPr>
      <w:rPr>
        <w:rFonts w:cs="Times New Roman"/>
      </w:rPr>
    </w:lvl>
    <w:lvl w:ilvl="1">
      <w:start w:val="1"/>
      <w:numFmt w:val="decimal"/>
      <w:pStyle w:val="Ruth-numberedparargraph"/>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15:restartNumberingAfterBreak="0">
    <w:nsid w:val="5A3F7C7B"/>
    <w:multiLevelType w:val="hybridMultilevel"/>
    <w:tmpl w:val="1BE6AD14"/>
    <w:lvl w:ilvl="0" w:tplc="BDC24EC4">
      <w:start w:val="1"/>
      <w:numFmt w:val="bullet"/>
      <w:lvlText w:val=""/>
      <w:lvlJc w:val="left"/>
      <w:pPr>
        <w:ind w:left="1571" w:hanging="360"/>
      </w:pPr>
      <w:rPr>
        <w:rFonts w:ascii="Symbol" w:hAnsi="Symbol" w:hint="default"/>
      </w:rPr>
    </w:lvl>
    <w:lvl w:ilvl="1" w:tplc="345E6D66" w:tentative="1">
      <w:start w:val="1"/>
      <w:numFmt w:val="bullet"/>
      <w:lvlText w:val="o"/>
      <w:lvlJc w:val="left"/>
      <w:pPr>
        <w:ind w:left="2291" w:hanging="360"/>
      </w:pPr>
      <w:rPr>
        <w:rFonts w:ascii="Courier New" w:hAnsi="Courier New" w:cs="Courier New" w:hint="default"/>
      </w:rPr>
    </w:lvl>
    <w:lvl w:ilvl="2" w:tplc="59ACA01C" w:tentative="1">
      <w:start w:val="1"/>
      <w:numFmt w:val="bullet"/>
      <w:lvlText w:val=""/>
      <w:lvlJc w:val="left"/>
      <w:pPr>
        <w:ind w:left="3011" w:hanging="360"/>
      </w:pPr>
      <w:rPr>
        <w:rFonts w:ascii="Wingdings" w:hAnsi="Wingdings" w:hint="default"/>
      </w:rPr>
    </w:lvl>
    <w:lvl w:ilvl="3" w:tplc="FD3C69D4" w:tentative="1">
      <w:start w:val="1"/>
      <w:numFmt w:val="bullet"/>
      <w:lvlText w:val=""/>
      <w:lvlJc w:val="left"/>
      <w:pPr>
        <w:ind w:left="3731" w:hanging="360"/>
      </w:pPr>
      <w:rPr>
        <w:rFonts w:ascii="Symbol" w:hAnsi="Symbol" w:hint="default"/>
      </w:rPr>
    </w:lvl>
    <w:lvl w:ilvl="4" w:tplc="508EAC30" w:tentative="1">
      <w:start w:val="1"/>
      <w:numFmt w:val="bullet"/>
      <w:lvlText w:val="o"/>
      <w:lvlJc w:val="left"/>
      <w:pPr>
        <w:ind w:left="4451" w:hanging="360"/>
      </w:pPr>
      <w:rPr>
        <w:rFonts w:ascii="Courier New" w:hAnsi="Courier New" w:cs="Courier New" w:hint="default"/>
      </w:rPr>
    </w:lvl>
    <w:lvl w:ilvl="5" w:tplc="30B2768C" w:tentative="1">
      <w:start w:val="1"/>
      <w:numFmt w:val="bullet"/>
      <w:lvlText w:val=""/>
      <w:lvlJc w:val="left"/>
      <w:pPr>
        <w:ind w:left="5171" w:hanging="360"/>
      </w:pPr>
      <w:rPr>
        <w:rFonts w:ascii="Wingdings" w:hAnsi="Wingdings" w:hint="default"/>
      </w:rPr>
    </w:lvl>
    <w:lvl w:ilvl="6" w:tplc="5254C98A" w:tentative="1">
      <w:start w:val="1"/>
      <w:numFmt w:val="bullet"/>
      <w:lvlText w:val=""/>
      <w:lvlJc w:val="left"/>
      <w:pPr>
        <w:ind w:left="5891" w:hanging="360"/>
      </w:pPr>
      <w:rPr>
        <w:rFonts w:ascii="Symbol" w:hAnsi="Symbol" w:hint="default"/>
      </w:rPr>
    </w:lvl>
    <w:lvl w:ilvl="7" w:tplc="32DC6E96" w:tentative="1">
      <w:start w:val="1"/>
      <w:numFmt w:val="bullet"/>
      <w:lvlText w:val="o"/>
      <w:lvlJc w:val="left"/>
      <w:pPr>
        <w:ind w:left="6611" w:hanging="360"/>
      </w:pPr>
      <w:rPr>
        <w:rFonts w:ascii="Courier New" w:hAnsi="Courier New" w:cs="Courier New" w:hint="default"/>
      </w:rPr>
    </w:lvl>
    <w:lvl w:ilvl="8" w:tplc="E5E8A91E" w:tentative="1">
      <w:start w:val="1"/>
      <w:numFmt w:val="bullet"/>
      <w:lvlText w:val=""/>
      <w:lvlJc w:val="left"/>
      <w:pPr>
        <w:ind w:left="7331" w:hanging="360"/>
      </w:pPr>
      <w:rPr>
        <w:rFonts w:ascii="Wingdings" w:hAnsi="Wingdings" w:hint="default"/>
      </w:rPr>
    </w:lvl>
  </w:abstractNum>
  <w:abstractNum w:abstractNumId="10"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69536897"/>
    <w:multiLevelType w:val="multilevel"/>
    <w:tmpl w:val="0CF0AC1C"/>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2128"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07B015E"/>
    <w:multiLevelType w:val="hybridMultilevel"/>
    <w:tmpl w:val="25348240"/>
    <w:lvl w:ilvl="0" w:tplc="44586580">
      <w:start w:val="1"/>
      <w:numFmt w:val="bullet"/>
      <w:pStyle w:val="Ruthsbullets"/>
      <w:lvlText w:val=""/>
      <w:lvlJc w:val="left"/>
      <w:pPr>
        <w:ind w:left="720" w:hanging="360"/>
      </w:pPr>
      <w:rPr>
        <w:rFonts w:ascii="Symbol" w:hAnsi="Symbol" w:hint="default"/>
      </w:rPr>
    </w:lvl>
    <w:lvl w:ilvl="1" w:tplc="58701386">
      <w:start w:val="1"/>
      <w:numFmt w:val="bullet"/>
      <w:lvlText w:val="˗"/>
      <w:lvlJc w:val="left"/>
      <w:pPr>
        <w:ind w:left="1440" w:hanging="360"/>
      </w:pPr>
      <w:rPr>
        <w:rFonts w:ascii="Arial" w:hAnsi="Arial" w:hint="default"/>
      </w:rPr>
    </w:lvl>
    <w:lvl w:ilvl="2" w:tplc="546AF2C0" w:tentative="1">
      <w:start w:val="1"/>
      <w:numFmt w:val="bullet"/>
      <w:lvlText w:val=""/>
      <w:lvlJc w:val="left"/>
      <w:pPr>
        <w:ind w:left="2160" w:hanging="360"/>
      </w:pPr>
      <w:rPr>
        <w:rFonts w:ascii="Wingdings" w:hAnsi="Wingdings" w:hint="default"/>
      </w:rPr>
    </w:lvl>
    <w:lvl w:ilvl="3" w:tplc="56124E14" w:tentative="1">
      <w:start w:val="1"/>
      <w:numFmt w:val="bullet"/>
      <w:lvlText w:val=""/>
      <w:lvlJc w:val="left"/>
      <w:pPr>
        <w:ind w:left="2880" w:hanging="360"/>
      </w:pPr>
      <w:rPr>
        <w:rFonts w:ascii="Symbol" w:hAnsi="Symbol" w:hint="default"/>
      </w:rPr>
    </w:lvl>
    <w:lvl w:ilvl="4" w:tplc="AA5AC886" w:tentative="1">
      <w:start w:val="1"/>
      <w:numFmt w:val="bullet"/>
      <w:lvlText w:val="o"/>
      <w:lvlJc w:val="left"/>
      <w:pPr>
        <w:ind w:left="3600" w:hanging="360"/>
      </w:pPr>
      <w:rPr>
        <w:rFonts w:ascii="Courier New" w:hAnsi="Courier New" w:cs="Courier New" w:hint="default"/>
      </w:rPr>
    </w:lvl>
    <w:lvl w:ilvl="5" w:tplc="43DCD558" w:tentative="1">
      <w:start w:val="1"/>
      <w:numFmt w:val="bullet"/>
      <w:lvlText w:val=""/>
      <w:lvlJc w:val="left"/>
      <w:pPr>
        <w:ind w:left="4320" w:hanging="360"/>
      </w:pPr>
      <w:rPr>
        <w:rFonts w:ascii="Wingdings" w:hAnsi="Wingdings" w:hint="default"/>
      </w:rPr>
    </w:lvl>
    <w:lvl w:ilvl="6" w:tplc="514670C6" w:tentative="1">
      <w:start w:val="1"/>
      <w:numFmt w:val="bullet"/>
      <w:lvlText w:val=""/>
      <w:lvlJc w:val="left"/>
      <w:pPr>
        <w:ind w:left="5040" w:hanging="360"/>
      </w:pPr>
      <w:rPr>
        <w:rFonts w:ascii="Symbol" w:hAnsi="Symbol" w:hint="default"/>
      </w:rPr>
    </w:lvl>
    <w:lvl w:ilvl="7" w:tplc="E48A1CA4" w:tentative="1">
      <w:start w:val="1"/>
      <w:numFmt w:val="bullet"/>
      <w:lvlText w:val="o"/>
      <w:lvlJc w:val="left"/>
      <w:pPr>
        <w:ind w:left="5760" w:hanging="360"/>
      </w:pPr>
      <w:rPr>
        <w:rFonts w:ascii="Courier New" w:hAnsi="Courier New" w:cs="Courier New" w:hint="default"/>
      </w:rPr>
    </w:lvl>
    <w:lvl w:ilvl="8" w:tplc="41D4B770" w:tentative="1">
      <w:start w:val="1"/>
      <w:numFmt w:val="bullet"/>
      <w:lvlText w:val=""/>
      <w:lvlJc w:val="left"/>
      <w:pPr>
        <w:ind w:left="6480" w:hanging="360"/>
      </w:pPr>
      <w:rPr>
        <w:rFonts w:ascii="Wingdings" w:hAnsi="Wingdings" w:hint="default"/>
      </w:rPr>
    </w:lvl>
  </w:abstractNum>
  <w:abstractNum w:abstractNumId="13"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73C0F52"/>
    <w:multiLevelType w:val="hybridMultilevel"/>
    <w:tmpl w:val="0F9E62FC"/>
    <w:lvl w:ilvl="0" w:tplc="E8D60A7E">
      <w:start w:val="1"/>
      <w:numFmt w:val="bullet"/>
      <w:lvlText w:val=""/>
      <w:lvlJc w:val="left"/>
      <w:pPr>
        <w:ind w:left="1571" w:hanging="360"/>
      </w:pPr>
      <w:rPr>
        <w:rFonts w:ascii="Symbol" w:hAnsi="Symbol" w:hint="default"/>
      </w:rPr>
    </w:lvl>
    <w:lvl w:ilvl="1" w:tplc="09184808" w:tentative="1">
      <w:start w:val="1"/>
      <w:numFmt w:val="bullet"/>
      <w:lvlText w:val="o"/>
      <w:lvlJc w:val="left"/>
      <w:pPr>
        <w:ind w:left="2291" w:hanging="360"/>
      </w:pPr>
      <w:rPr>
        <w:rFonts w:ascii="Courier New" w:hAnsi="Courier New" w:cs="Courier New" w:hint="default"/>
      </w:rPr>
    </w:lvl>
    <w:lvl w:ilvl="2" w:tplc="BEB6D922" w:tentative="1">
      <w:start w:val="1"/>
      <w:numFmt w:val="bullet"/>
      <w:lvlText w:val=""/>
      <w:lvlJc w:val="left"/>
      <w:pPr>
        <w:ind w:left="3011" w:hanging="360"/>
      </w:pPr>
      <w:rPr>
        <w:rFonts w:ascii="Wingdings" w:hAnsi="Wingdings" w:hint="default"/>
      </w:rPr>
    </w:lvl>
    <w:lvl w:ilvl="3" w:tplc="76B0CD9A" w:tentative="1">
      <w:start w:val="1"/>
      <w:numFmt w:val="bullet"/>
      <w:lvlText w:val=""/>
      <w:lvlJc w:val="left"/>
      <w:pPr>
        <w:ind w:left="3731" w:hanging="360"/>
      </w:pPr>
      <w:rPr>
        <w:rFonts w:ascii="Symbol" w:hAnsi="Symbol" w:hint="default"/>
      </w:rPr>
    </w:lvl>
    <w:lvl w:ilvl="4" w:tplc="16FE7752" w:tentative="1">
      <w:start w:val="1"/>
      <w:numFmt w:val="bullet"/>
      <w:lvlText w:val="o"/>
      <w:lvlJc w:val="left"/>
      <w:pPr>
        <w:ind w:left="4451" w:hanging="360"/>
      </w:pPr>
      <w:rPr>
        <w:rFonts w:ascii="Courier New" w:hAnsi="Courier New" w:cs="Courier New" w:hint="default"/>
      </w:rPr>
    </w:lvl>
    <w:lvl w:ilvl="5" w:tplc="094E35AC" w:tentative="1">
      <w:start w:val="1"/>
      <w:numFmt w:val="bullet"/>
      <w:lvlText w:val=""/>
      <w:lvlJc w:val="left"/>
      <w:pPr>
        <w:ind w:left="5171" w:hanging="360"/>
      </w:pPr>
      <w:rPr>
        <w:rFonts w:ascii="Wingdings" w:hAnsi="Wingdings" w:hint="default"/>
      </w:rPr>
    </w:lvl>
    <w:lvl w:ilvl="6" w:tplc="72B86206" w:tentative="1">
      <w:start w:val="1"/>
      <w:numFmt w:val="bullet"/>
      <w:lvlText w:val=""/>
      <w:lvlJc w:val="left"/>
      <w:pPr>
        <w:ind w:left="5891" w:hanging="360"/>
      </w:pPr>
      <w:rPr>
        <w:rFonts w:ascii="Symbol" w:hAnsi="Symbol" w:hint="default"/>
      </w:rPr>
    </w:lvl>
    <w:lvl w:ilvl="7" w:tplc="FDFAEE4E" w:tentative="1">
      <w:start w:val="1"/>
      <w:numFmt w:val="bullet"/>
      <w:lvlText w:val="o"/>
      <w:lvlJc w:val="left"/>
      <w:pPr>
        <w:ind w:left="6611" w:hanging="360"/>
      </w:pPr>
      <w:rPr>
        <w:rFonts w:ascii="Courier New" w:hAnsi="Courier New" w:cs="Courier New" w:hint="default"/>
      </w:rPr>
    </w:lvl>
    <w:lvl w:ilvl="8" w:tplc="E5CC4CB0" w:tentative="1">
      <w:start w:val="1"/>
      <w:numFmt w:val="bullet"/>
      <w:lvlText w:val=""/>
      <w:lvlJc w:val="left"/>
      <w:pPr>
        <w:ind w:left="7331" w:hanging="360"/>
      </w:pPr>
      <w:rPr>
        <w:rFonts w:ascii="Wingdings" w:hAnsi="Wingdings" w:hint="default"/>
      </w:rPr>
    </w:lvl>
  </w:abstractNum>
  <w:abstractNum w:abstractNumId="15"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C482834"/>
    <w:multiLevelType w:val="hybridMultilevel"/>
    <w:tmpl w:val="4C0E2C82"/>
    <w:lvl w:ilvl="0" w:tplc="1EB0AEF8">
      <w:start w:val="1"/>
      <w:numFmt w:val="bullet"/>
      <w:lvlText w:val=""/>
      <w:lvlJc w:val="left"/>
      <w:pPr>
        <w:ind w:left="1571" w:hanging="360"/>
      </w:pPr>
      <w:rPr>
        <w:rFonts w:ascii="Symbol" w:hAnsi="Symbol" w:hint="default"/>
      </w:rPr>
    </w:lvl>
    <w:lvl w:ilvl="1" w:tplc="F362833C" w:tentative="1">
      <w:start w:val="1"/>
      <w:numFmt w:val="bullet"/>
      <w:lvlText w:val="o"/>
      <w:lvlJc w:val="left"/>
      <w:pPr>
        <w:ind w:left="2291" w:hanging="360"/>
      </w:pPr>
      <w:rPr>
        <w:rFonts w:ascii="Courier New" w:hAnsi="Courier New" w:cs="Courier New" w:hint="default"/>
      </w:rPr>
    </w:lvl>
    <w:lvl w:ilvl="2" w:tplc="3D847686" w:tentative="1">
      <w:start w:val="1"/>
      <w:numFmt w:val="bullet"/>
      <w:lvlText w:val=""/>
      <w:lvlJc w:val="left"/>
      <w:pPr>
        <w:ind w:left="3011" w:hanging="360"/>
      </w:pPr>
      <w:rPr>
        <w:rFonts w:ascii="Wingdings" w:hAnsi="Wingdings" w:hint="default"/>
      </w:rPr>
    </w:lvl>
    <w:lvl w:ilvl="3" w:tplc="6226D80C" w:tentative="1">
      <w:start w:val="1"/>
      <w:numFmt w:val="bullet"/>
      <w:lvlText w:val=""/>
      <w:lvlJc w:val="left"/>
      <w:pPr>
        <w:ind w:left="3731" w:hanging="360"/>
      </w:pPr>
      <w:rPr>
        <w:rFonts w:ascii="Symbol" w:hAnsi="Symbol" w:hint="default"/>
      </w:rPr>
    </w:lvl>
    <w:lvl w:ilvl="4" w:tplc="E9088E96" w:tentative="1">
      <w:start w:val="1"/>
      <w:numFmt w:val="bullet"/>
      <w:lvlText w:val="o"/>
      <w:lvlJc w:val="left"/>
      <w:pPr>
        <w:ind w:left="4451" w:hanging="360"/>
      </w:pPr>
      <w:rPr>
        <w:rFonts w:ascii="Courier New" w:hAnsi="Courier New" w:cs="Courier New" w:hint="default"/>
      </w:rPr>
    </w:lvl>
    <w:lvl w:ilvl="5" w:tplc="A356A46A" w:tentative="1">
      <w:start w:val="1"/>
      <w:numFmt w:val="bullet"/>
      <w:lvlText w:val=""/>
      <w:lvlJc w:val="left"/>
      <w:pPr>
        <w:ind w:left="5171" w:hanging="360"/>
      </w:pPr>
      <w:rPr>
        <w:rFonts w:ascii="Wingdings" w:hAnsi="Wingdings" w:hint="default"/>
      </w:rPr>
    </w:lvl>
    <w:lvl w:ilvl="6" w:tplc="F40ADBCA" w:tentative="1">
      <w:start w:val="1"/>
      <w:numFmt w:val="bullet"/>
      <w:lvlText w:val=""/>
      <w:lvlJc w:val="left"/>
      <w:pPr>
        <w:ind w:left="5891" w:hanging="360"/>
      </w:pPr>
      <w:rPr>
        <w:rFonts w:ascii="Symbol" w:hAnsi="Symbol" w:hint="default"/>
      </w:rPr>
    </w:lvl>
    <w:lvl w:ilvl="7" w:tplc="63A0678E" w:tentative="1">
      <w:start w:val="1"/>
      <w:numFmt w:val="bullet"/>
      <w:lvlText w:val="o"/>
      <w:lvlJc w:val="left"/>
      <w:pPr>
        <w:ind w:left="6611" w:hanging="360"/>
      </w:pPr>
      <w:rPr>
        <w:rFonts w:ascii="Courier New" w:hAnsi="Courier New" w:cs="Courier New" w:hint="default"/>
      </w:rPr>
    </w:lvl>
    <w:lvl w:ilvl="8" w:tplc="139C94EE" w:tentative="1">
      <w:start w:val="1"/>
      <w:numFmt w:val="bullet"/>
      <w:lvlText w:val=""/>
      <w:lvlJc w:val="left"/>
      <w:pPr>
        <w:ind w:left="7331" w:hanging="360"/>
      </w:pPr>
      <w:rPr>
        <w:rFonts w:ascii="Wingdings" w:hAnsi="Wingdings" w:hint="default"/>
      </w:rPr>
    </w:lvl>
  </w:abstractNum>
  <w:abstractNum w:abstractNumId="17" w15:restartNumberingAfterBreak="0">
    <w:nsid w:val="7DCF4B25"/>
    <w:multiLevelType w:val="hybridMultilevel"/>
    <w:tmpl w:val="1B981436"/>
    <w:lvl w:ilvl="0" w:tplc="E4DC9036">
      <w:start w:val="1"/>
      <w:numFmt w:val="decimal"/>
      <w:lvlText w:val="%1."/>
      <w:lvlJc w:val="left"/>
      <w:pPr>
        <w:ind w:left="720" w:hanging="360"/>
      </w:pPr>
      <w:rPr>
        <w:rFonts w:hint="default"/>
      </w:rPr>
    </w:lvl>
    <w:lvl w:ilvl="1" w:tplc="EB76B700" w:tentative="1">
      <w:start w:val="1"/>
      <w:numFmt w:val="lowerLetter"/>
      <w:lvlText w:val="%2."/>
      <w:lvlJc w:val="left"/>
      <w:pPr>
        <w:ind w:left="1440" w:hanging="360"/>
      </w:pPr>
    </w:lvl>
    <w:lvl w:ilvl="2" w:tplc="F5D0CD12" w:tentative="1">
      <w:start w:val="1"/>
      <w:numFmt w:val="lowerRoman"/>
      <w:lvlText w:val="%3."/>
      <w:lvlJc w:val="right"/>
      <w:pPr>
        <w:ind w:left="2160" w:hanging="180"/>
      </w:pPr>
    </w:lvl>
    <w:lvl w:ilvl="3" w:tplc="B548250A" w:tentative="1">
      <w:start w:val="1"/>
      <w:numFmt w:val="decimal"/>
      <w:lvlText w:val="%4."/>
      <w:lvlJc w:val="left"/>
      <w:pPr>
        <w:ind w:left="2880" w:hanging="360"/>
      </w:pPr>
    </w:lvl>
    <w:lvl w:ilvl="4" w:tplc="4288C73A" w:tentative="1">
      <w:start w:val="1"/>
      <w:numFmt w:val="lowerLetter"/>
      <w:lvlText w:val="%5."/>
      <w:lvlJc w:val="left"/>
      <w:pPr>
        <w:ind w:left="3600" w:hanging="360"/>
      </w:pPr>
    </w:lvl>
    <w:lvl w:ilvl="5" w:tplc="AA143852" w:tentative="1">
      <w:start w:val="1"/>
      <w:numFmt w:val="lowerRoman"/>
      <w:lvlText w:val="%6."/>
      <w:lvlJc w:val="right"/>
      <w:pPr>
        <w:ind w:left="4320" w:hanging="180"/>
      </w:pPr>
    </w:lvl>
    <w:lvl w:ilvl="6" w:tplc="040C8EF6" w:tentative="1">
      <w:start w:val="1"/>
      <w:numFmt w:val="decimal"/>
      <w:lvlText w:val="%7."/>
      <w:lvlJc w:val="left"/>
      <w:pPr>
        <w:ind w:left="5040" w:hanging="360"/>
      </w:pPr>
    </w:lvl>
    <w:lvl w:ilvl="7" w:tplc="1B7A8344" w:tentative="1">
      <w:start w:val="1"/>
      <w:numFmt w:val="lowerLetter"/>
      <w:lvlText w:val="%8."/>
      <w:lvlJc w:val="left"/>
      <w:pPr>
        <w:ind w:left="5760" w:hanging="360"/>
      </w:pPr>
    </w:lvl>
    <w:lvl w:ilvl="8" w:tplc="275EB9D8"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3"/>
  </w:num>
  <w:num w:numId="5">
    <w:abstractNumId w:val="7"/>
  </w:num>
  <w:num w:numId="6">
    <w:abstractNumId w:val="6"/>
  </w:num>
  <w:num w:numId="7">
    <w:abstractNumId w:val="3"/>
  </w:num>
  <w:num w:numId="8">
    <w:abstractNumId w:val="14"/>
  </w:num>
  <w:num w:numId="9">
    <w:abstractNumId w:val="17"/>
  </w:num>
  <w:num w:numId="10">
    <w:abstractNumId w:val="15"/>
  </w:num>
  <w:num w:numId="11">
    <w:abstractNumId w:val="5"/>
  </w:num>
  <w:num w:numId="12">
    <w:abstractNumId w:val="16"/>
  </w:num>
  <w:num w:numId="13">
    <w:abstractNumId w:val="2"/>
  </w:num>
  <w:num w:numId="14">
    <w:abstractNumId w:val="7"/>
  </w:num>
  <w:num w:numId="15">
    <w:abstractNumId w:val="0"/>
  </w:num>
  <w:num w:numId="16">
    <w:abstractNumId w:val="12"/>
  </w:num>
  <w:num w:numId="17">
    <w:abstractNumId w:val="4"/>
  </w:num>
  <w:num w:numId="18">
    <w:abstractNumId w:val="7"/>
  </w:num>
  <w:num w:numId="19">
    <w:abstractNumId w:val="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4F"/>
    <w:rsid w:val="0031456E"/>
    <w:rsid w:val="005F793F"/>
    <w:rsid w:val="009C1F4F"/>
    <w:rsid w:val="00B85CD6"/>
    <w:rsid w:val="00C82852"/>
    <w:rsid w:val="00F9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7579C"/>
  <w15:docId w15:val="{24D21792-5F38-4FB8-B617-2D5C96A9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D57"/>
    <w:pPr>
      <w:spacing w:before="60" w:after="60"/>
    </w:pPr>
    <w:rPr>
      <w:rFonts w:ascii="Arial" w:hAnsi="Arial"/>
      <w:sz w:val="24"/>
      <w:szCs w:val="24"/>
    </w:rPr>
  </w:style>
  <w:style w:type="paragraph" w:styleId="Heading1">
    <w:name w:val="heading 1"/>
    <w:basedOn w:val="Normal"/>
    <w:next w:val="Heading2"/>
    <w:link w:val="Heading1Char"/>
    <w:uiPriority w:val="99"/>
    <w:qFormat/>
    <w:rsid w:val="009419F7"/>
    <w:pPr>
      <w:keepNext/>
      <w:spacing w:before="240"/>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9419F7"/>
    <w:pPr>
      <w:keepNext/>
      <w:spacing w:before="240"/>
      <w:outlineLvl w:val="1"/>
    </w:pPr>
    <w:rPr>
      <w:rFonts w:ascii="Cambria" w:hAnsi="Cambria"/>
      <w:b/>
      <w:bCs/>
      <w:i/>
      <w:iCs/>
      <w:sz w:val="28"/>
      <w:szCs w:val="28"/>
    </w:rPr>
  </w:style>
  <w:style w:type="paragraph" w:styleId="Heading3">
    <w:name w:val="heading 3"/>
    <w:basedOn w:val="Normal"/>
    <w:next w:val="BodyText"/>
    <w:link w:val="Heading3Char"/>
    <w:uiPriority w:val="99"/>
    <w:qFormat/>
    <w:rsid w:val="009419F7"/>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9419F7"/>
    <w:pPr>
      <w:keepNext/>
      <w:spacing w:before="240"/>
      <w:outlineLvl w:val="3"/>
    </w:pPr>
    <w:rPr>
      <w:rFonts w:ascii="Calibri" w:hAnsi="Calibri"/>
      <w:b/>
      <w:bCs/>
      <w:sz w:val="28"/>
      <w:szCs w:val="28"/>
    </w:rPr>
  </w:style>
  <w:style w:type="paragraph" w:styleId="Heading5">
    <w:name w:val="heading 5"/>
    <w:basedOn w:val="Normal"/>
    <w:next w:val="BodyText"/>
    <w:link w:val="Heading5Char"/>
    <w:uiPriority w:val="99"/>
    <w:qFormat/>
    <w:rsid w:val="009419F7"/>
    <w:pPr>
      <w:spacing w:before="240"/>
      <w:outlineLvl w:val="4"/>
    </w:pPr>
    <w:rPr>
      <w:rFonts w:ascii="Calibri" w:hAnsi="Calibri"/>
      <w:b/>
      <w:bCs/>
      <w:i/>
      <w:iCs/>
      <w:sz w:val="26"/>
      <w:szCs w:val="26"/>
    </w:rPr>
  </w:style>
  <w:style w:type="paragraph" w:styleId="Heading6">
    <w:name w:val="heading 6"/>
    <w:basedOn w:val="Normal"/>
    <w:next w:val="BodyText"/>
    <w:link w:val="Heading6Char"/>
    <w:uiPriority w:val="99"/>
    <w:qFormat/>
    <w:rsid w:val="009419F7"/>
    <w:pPr>
      <w:spacing w:before="240"/>
      <w:outlineLvl w:val="5"/>
    </w:pPr>
    <w:rPr>
      <w:rFonts w:ascii="Calibri" w:hAnsi="Calibri"/>
      <w:b/>
      <w:bCs/>
      <w:sz w:val="22"/>
      <w:szCs w:val="22"/>
    </w:rPr>
  </w:style>
  <w:style w:type="paragraph" w:styleId="Heading7">
    <w:name w:val="heading 7"/>
    <w:basedOn w:val="Normal"/>
    <w:next w:val="BodyText"/>
    <w:link w:val="Heading7Char"/>
    <w:uiPriority w:val="99"/>
    <w:qFormat/>
    <w:rsid w:val="009419F7"/>
    <w:pPr>
      <w:spacing w:before="240"/>
      <w:outlineLvl w:val="6"/>
    </w:pPr>
    <w:rPr>
      <w:rFonts w:ascii="Calibri" w:hAnsi="Calibri"/>
    </w:rPr>
  </w:style>
  <w:style w:type="paragraph" w:styleId="Heading8">
    <w:name w:val="heading 8"/>
    <w:basedOn w:val="Normal"/>
    <w:next w:val="BodyText"/>
    <w:link w:val="Heading8Char"/>
    <w:uiPriority w:val="99"/>
    <w:qFormat/>
    <w:rsid w:val="009419F7"/>
    <w:pPr>
      <w:spacing w:before="240"/>
      <w:outlineLvl w:val="7"/>
    </w:pPr>
    <w:rPr>
      <w:rFonts w:ascii="Calibri" w:hAnsi="Calibri"/>
      <w:i/>
      <w:iCs/>
    </w:rPr>
  </w:style>
  <w:style w:type="paragraph" w:styleId="Heading9">
    <w:name w:val="heading 9"/>
    <w:basedOn w:val="Normal"/>
    <w:next w:val="BodyText"/>
    <w:link w:val="Heading9Char"/>
    <w:uiPriority w:val="99"/>
    <w:qFormat/>
    <w:rsid w:val="009419F7"/>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19F7"/>
    <w:pPr>
      <w:spacing w:after="260"/>
    </w:pPr>
  </w:style>
  <w:style w:type="character" w:customStyle="1" w:styleId="BodyTextChar">
    <w:name w:val="Body Text Char"/>
    <w:basedOn w:val="DefaultParagraphFont"/>
    <w:link w:val="BodyText"/>
    <w:uiPriority w:val="99"/>
    <w:locked/>
    <w:rsid w:val="00567F90"/>
    <w:rPr>
      <w:rFonts w:ascii="Arial" w:hAnsi="Arial" w:cs="Times New Roman"/>
      <w:sz w:val="24"/>
      <w:szCs w:val="24"/>
    </w:rPr>
  </w:style>
  <w:style w:type="character" w:customStyle="1" w:styleId="Heading2Char">
    <w:name w:val="Heading 2 Char"/>
    <w:basedOn w:val="DefaultParagraphFont"/>
    <w:link w:val="Heading2"/>
    <w:uiPriority w:val="99"/>
    <w:semiHidden/>
    <w:locked/>
    <w:rsid w:val="00567F90"/>
    <w:rPr>
      <w:rFonts w:ascii="Cambria" w:hAnsi="Cambria" w:cs="Times New Roman"/>
      <w:b/>
      <w:bCs/>
      <w:i/>
      <w:iCs/>
      <w:sz w:val="28"/>
      <w:szCs w:val="28"/>
    </w:rPr>
  </w:style>
  <w:style w:type="character" w:customStyle="1" w:styleId="Heading1Char">
    <w:name w:val="Heading 1 Char"/>
    <w:basedOn w:val="DefaultParagraphFont"/>
    <w:link w:val="Heading1"/>
    <w:uiPriority w:val="99"/>
    <w:locked/>
    <w:rsid w:val="00567F9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67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7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7F9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7F90"/>
    <w:rPr>
      <w:rFonts w:ascii="Calibri" w:hAnsi="Calibri" w:cs="Times New Roman"/>
      <w:b/>
      <w:bCs/>
    </w:rPr>
  </w:style>
  <w:style w:type="character" w:customStyle="1" w:styleId="Heading7Char">
    <w:name w:val="Heading 7 Char"/>
    <w:basedOn w:val="DefaultParagraphFont"/>
    <w:link w:val="Heading7"/>
    <w:uiPriority w:val="99"/>
    <w:semiHidden/>
    <w:locked/>
    <w:rsid w:val="00567F9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7F9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7F90"/>
    <w:rPr>
      <w:rFonts w:ascii="Cambria" w:hAnsi="Cambria" w:cs="Times New Roman"/>
    </w:rPr>
  </w:style>
  <w:style w:type="paragraph" w:styleId="TOC1">
    <w:name w:val="toc 1"/>
    <w:basedOn w:val="Normal"/>
    <w:next w:val="Normal"/>
    <w:uiPriority w:val="99"/>
    <w:semiHidden/>
    <w:rsid w:val="009419F7"/>
    <w:pPr>
      <w:spacing w:before="120" w:after="240"/>
    </w:pPr>
  </w:style>
  <w:style w:type="character" w:styleId="Hyperlink">
    <w:name w:val="Hyperlink"/>
    <w:basedOn w:val="DefaultParagraphFont"/>
    <w:uiPriority w:val="99"/>
    <w:rsid w:val="009419F7"/>
    <w:rPr>
      <w:rFonts w:cs="Times New Roman"/>
      <w:color w:val="0000FF"/>
      <w:u w:val="single"/>
    </w:rPr>
  </w:style>
  <w:style w:type="paragraph" w:customStyle="1" w:styleId="TableText">
    <w:name w:val="Table Text"/>
    <w:basedOn w:val="Normal"/>
    <w:uiPriority w:val="99"/>
    <w:rsid w:val="009419F7"/>
    <w:pPr>
      <w:spacing w:before="120" w:after="170"/>
    </w:pPr>
  </w:style>
  <w:style w:type="paragraph" w:customStyle="1" w:styleId="TableColumnHeader">
    <w:name w:val="Table Column Header"/>
    <w:basedOn w:val="TableText"/>
    <w:uiPriority w:val="99"/>
    <w:rsid w:val="009419F7"/>
    <w:rPr>
      <w:b/>
    </w:rPr>
  </w:style>
  <w:style w:type="paragraph" w:styleId="BalloonText">
    <w:name w:val="Balloon Text"/>
    <w:basedOn w:val="Normal"/>
    <w:link w:val="BalloonTextChar"/>
    <w:uiPriority w:val="99"/>
    <w:semiHidden/>
    <w:rsid w:val="00941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F90"/>
    <w:rPr>
      <w:rFonts w:cs="Times New Roman"/>
      <w:sz w:val="2"/>
    </w:rPr>
  </w:style>
  <w:style w:type="paragraph" w:styleId="Header">
    <w:name w:val="header"/>
    <w:basedOn w:val="Normal"/>
    <w:link w:val="HeaderChar"/>
    <w:uiPriority w:val="99"/>
    <w:rsid w:val="009419F7"/>
    <w:pPr>
      <w:tabs>
        <w:tab w:val="center" w:pos="4153"/>
        <w:tab w:val="right" w:pos="8306"/>
      </w:tabs>
    </w:pPr>
  </w:style>
  <w:style w:type="character" w:customStyle="1" w:styleId="HeaderChar">
    <w:name w:val="Header Char"/>
    <w:basedOn w:val="DefaultParagraphFont"/>
    <w:link w:val="Header"/>
    <w:uiPriority w:val="99"/>
    <w:semiHidden/>
    <w:locked/>
    <w:rsid w:val="00567F90"/>
    <w:rPr>
      <w:rFonts w:ascii="Arial" w:hAnsi="Arial" w:cs="Times New Roman"/>
      <w:sz w:val="24"/>
      <w:szCs w:val="24"/>
    </w:rPr>
  </w:style>
  <w:style w:type="paragraph" w:styleId="Footer">
    <w:name w:val="footer"/>
    <w:basedOn w:val="Normal"/>
    <w:link w:val="FooterChar"/>
    <w:uiPriority w:val="99"/>
    <w:rsid w:val="009419F7"/>
    <w:pPr>
      <w:tabs>
        <w:tab w:val="center" w:pos="4153"/>
        <w:tab w:val="right" w:pos="8306"/>
      </w:tabs>
    </w:pPr>
  </w:style>
  <w:style w:type="character" w:customStyle="1" w:styleId="FooterChar">
    <w:name w:val="Footer Char"/>
    <w:basedOn w:val="DefaultParagraphFont"/>
    <w:link w:val="Footer"/>
    <w:uiPriority w:val="99"/>
    <w:locked/>
    <w:rsid w:val="00567F90"/>
    <w:rPr>
      <w:rFonts w:ascii="Arial" w:hAnsi="Arial" w:cs="Times New Roman"/>
      <w:sz w:val="24"/>
      <w:szCs w:val="24"/>
    </w:rPr>
  </w:style>
  <w:style w:type="table" w:styleId="TableGrid">
    <w:name w:val="Table Grid"/>
    <w:basedOn w:val="TableNormal"/>
    <w:rsid w:val="009419F7"/>
    <w:pPr>
      <w:spacing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419F7"/>
    <w:rPr>
      <w:rFonts w:cs="Times New Roman"/>
    </w:rPr>
  </w:style>
  <w:style w:type="paragraph" w:customStyle="1" w:styleId="Bodyindent">
    <w:name w:val="Body indent"/>
    <w:basedOn w:val="Normal"/>
    <w:uiPriority w:val="99"/>
    <w:rsid w:val="009419F7"/>
    <w:pPr>
      <w:widowControl w:val="0"/>
      <w:spacing w:before="140" w:line="290" w:lineRule="atLeast"/>
      <w:ind w:left="680"/>
    </w:pPr>
    <w:rPr>
      <w:rFonts w:ascii="Sabon" w:hAnsi="Sabon"/>
      <w:color w:val="000000"/>
      <w:sz w:val="21"/>
      <w:lang w:val="en-US"/>
    </w:rPr>
  </w:style>
  <w:style w:type="paragraph" w:styleId="FootnoteText">
    <w:name w:val="footnote text"/>
    <w:basedOn w:val="Normal"/>
    <w:link w:val="FootnoteTextChar"/>
    <w:uiPriority w:val="99"/>
    <w:semiHidden/>
    <w:rsid w:val="009419F7"/>
  </w:style>
  <w:style w:type="character" w:customStyle="1" w:styleId="FootnoteTextChar">
    <w:name w:val="Footnote Text Char"/>
    <w:basedOn w:val="DefaultParagraphFont"/>
    <w:link w:val="FootnoteText"/>
    <w:uiPriority w:val="99"/>
    <w:semiHidden/>
    <w:locked/>
    <w:rsid w:val="00567F90"/>
    <w:rPr>
      <w:rFonts w:ascii="Arial" w:hAnsi="Arial" w:cs="Times New Roman"/>
      <w:sz w:val="20"/>
      <w:szCs w:val="20"/>
    </w:rPr>
  </w:style>
  <w:style w:type="character" w:styleId="FootnoteReference">
    <w:name w:val="footnote reference"/>
    <w:basedOn w:val="DefaultParagraphFont"/>
    <w:uiPriority w:val="99"/>
    <w:semiHidden/>
    <w:rsid w:val="009419F7"/>
    <w:rPr>
      <w:rFonts w:cs="Times New Roman"/>
      <w:vertAlign w:val="superscript"/>
    </w:rPr>
  </w:style>
  <w:style w:type="character" w:customStyle="1" w:styleId="EmailStyle421">
    <w:name w:val="EmailStyle421"/>
    <w:basedOn w:val="DefaultParagraphFont"/>
    <w:uiPriority w:val="99"/>
    <w:semiHidden/>
    <w:rsid w:val="009419F7"/>
    <w:rPr>
      <w:rFonts w:ascii="Arial" w:hAnsi="Arial" w:cs="Arial"/>
      <w:color w:val="auto"/>
      <w:sz w:val="20"/>
      <w:szCs w:val="20"/>
    </w:rPr>
  </w:style>
  <w:style w:type="character" w:styleId="FollowedHyperlink">
    <w:name w:val="FollowedHyperlink"/>
    <w:basedOn w:val="DefaultParagraphFont"/>
    <w:uiPriority w:val="99"/>
    <w:rsid w:val="009419F7"/>
    <w:rPr>
      <w:rFonts w:cs="Times New Roman"/>
      <w:color w:val="800080"/>
      <w:u w:val="single"/>
    </w:rPr>
  </w:style>
  <w:style w:type="paragraph" w:styleId="PlainText">
    <w:name w:val="Plain Text"/>
    <w:basedOn w:val="Normal"/>
    <w:link w:val="PlainTextChar"/>
    <w:uiPriority w:val="99"/>
    <w:rsid w:val="00353AF0"/>
    <w:rPr>
      <w:rFonts w:ascii="Courier New" w:hAnsi="Courier New" w:cs="Courier New"/>
    </w:rPr>
  </w:style>
  <w:style w:type="character" w:customStyle="1" w:styleId="PlainTextChar">
    <w:name w:val="Plain Text Char"/>
    <w:basedOn w:val="DefaultParagraphFont"/>
    <w:link w:val="PlainText"/>
    <w:uiPriority w:val="99"/>
    <w:semiHidden/>
    <w:locked/>
    <w:rsid w:val="00567F90"/>
    <w:rPr>
      <w:rFonts w:ascii="Courier New" w:hAnsi="Courier New" w:cs="Courier New"/>
      <w:sz w:val="20"/>
      <w:szCs w:val="20"/>
    </w:rPr>
  </w:style>
  <w:style w:type="paragraph" w:styleId="BodyTextIndent3">
    <w:name w:val="Body Text Indent 3"/>
    <w:basedOn w:val="Normal"/>
    <w:link w:val="BodyTextIndent3Char"/>
    <w:uiPriority w:val="99"/>
    <w:rsid w:val="002661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F90"/>
    <w:rPr>
      <w:rFonts w:ascii="Arial" w:hAnsi="Arial" w:cs="Times New Roman"/>
      <w:sz w:val="16"/>
      <w:szCs w:val="16"/>
    </w:rPr>
  </w:style>
  <w:style w:type="paragraph" w:customStyle="1" w:styleId="Default">
    <w:name w:val="Default"/>
    <w:rsid w:val="00B910EB"/>
    <w:pPr>
      <w:autoSpaceDE w:val="0"/>
      <w:autoSpaceDN w:val="0"/>
      <w:adjustRightInd w:val="0"/>
      <w:spacing w:before="60" w:after="60"/>
    </w:pPr>
    <w:rPr>
      <w:rFonts w:ascii="Arial" w:hAnsi="Arial" w:cs="Arial"/>
      <w:color w:val="000000"/>
      <w:sz w:val="24"/>
      <w:szCs w:val="24"/>
    </w:rPr>
  </w:style>
  <w:style w:type="character" w:styleId="CommentReference">
    <w:name w:val="annotation reference"/>
    <w:basedOn w:val="DefaultParagraphFont"/>
    <w:uiPriority w:val="99"/>
    <w:semiHidden/>
    <w:rsid w:val="00FC4057"/>
    <w:rPr>
      <w:rFonts w:cs="Times New Roman"/>
      <w:sz w:val="16"/>
      <w:szCs w:val="16"/>
    </w:rPr>
  </w:style>
  <w:style w:type="paragraph" w:styleId="CommentText">
    <w:name w:val="annotation text"/>
    <w:basedOn w:val="Normal"/>
    <w:link w:val="CommentTextChar"/>
    <w:uiPriority w:val="99"/>
    <w:semiHidden/>
    <w:rsid w:val="00FC4057"/>
  </w:style>
  <w:style w:type="character" w:customStyle="1" w:styleId="CommentTextChar">
    <w:name w:val="Comment Text Char"/>
    <w:basedOn w:val="DefaultParagraphFont"/>
    <w:link w:val="CommentText"/>
    <w:uiPriority w:val="99"/>
    <w:semiHidden/>
    <w:locked/>
    <w:rsid w:val="00567F9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C4057"/>
    <w:rPr>
      <w:b/>
      <w:bCs/>
    </w:rPr>
  </w:style>
  <w:style w:type="character" w:customStyle="1" w:styleId="CommentSubjectChar">
    <w:name w:val="Comment Subject Char"/>
    <w:basedOn w:val="CommentTextChar"/>
    <w:link w:val="CommentSubject"/>
    <w:uiPriority w:val="99"/>
    <w:semiHidden/>
    <w:locked/>
    <w:rsid w:val="00567F90"/>
    <w:rPr>
      <w:rFonts w:ascii="Arial" w:hAnsi="Arial" w:cs="Times New Roman"/>
      <w:b/>
      <w:bCs/>
      <w:sz w:val="20"/>
      <w:szCs w:val="20"/>
    </w:rPr>
  </w:style>
  <w:style w:type="paragraph" w:customStyle="1" w:styleId="Italicparaheading">
    <w:name w:val="Italic para heading"/>
    <w:basedOn w:val="Normal"/>
    <w:link w:val="ItalicparaheadingChar"/>
    <w:uiPriority w:val="99"/>
    <w:rsid w:val="0069418F"/>
    <w:pPr>
      <w:spacing w:before="120" w:after="120"/>
    </w:pPr>
    <w:rPr>
      <w:b/>
      <w:i/>
    </w:rPr>
  </w:style>
  <w:style w:type="character" w:customStyle="1" w:styleId="ItalicparaheadingChar">
    <w:name w:val="Italic para heading Char"/>
    <w:basedOn w:val="DefaultParagraphFont"/>
    <w:link w:val="Italicparaheading"/>
    <w:uiPriority w:val="99"/>
    <w:locked/>
    <w:rsid w:val="0069418F"/>
    <w:rPr>
      <w:rFonts w:ascii="Arial" w:hAnsi="Arial" w:cs="Times New Roman"/>
      <w:b/>
      <w:i/>
      <w:sz w:val="24"/>
      <w:lang w:eastAsia="en-US"/>
    </w:rPr>
  </w:style>
  <w:style w:type="paragraph" w:customStyle="1" w:styleId="Ruthsparagraph">
    <w:name w:val="Ruth's paragraph"/>
    <w:basedOn w:val="ListParagraph"/>
    <w:link w:val="RuthsparagraphChar1"/>
    <w:uiPriority w:val="99"/>
    <w:rsid w:val="008A65E8"/>
    <w:pPr>
      <w:numPr>
        <w:ilvl w:val="1"/>
        <w:numId w:val="4"/>
      </w:numPr>
      <w:spacing w:before="120" w:after="120"/>
    </w:pPr>
  </w:style>
  <w:style w:type="paragraph" w:styleId="ListParagraph">
    <w:name w:val="List Paragraph"/>
    <w:basedOn w:val="Normal"/>
    <w:link w:val="ListParagraphChar"/>
    <w:uiPriority w:val="34"/>
    <w:qFormat/>
    <w:rsid w:val="001D2D57"/>
    <w:pPr>
      <w:numPr>
        <w:numId w:val="5"/>
      </w:numPr>
      <w:contextualSpacing/>
    </w:pPr>
  </w:style>
  <w:style w:type="character" w:customStyle="1" w:styleId="ListParagraphChar">
    <w:name w:val="List Paragraph Char"/>
    <w:basedOn w:val="DefaultParagraphFont"/>
    <w:link w:val="ListParagraph"/>
    <w:uiPriority w:val="34"/>
    <w:locked/>
    <w:rsid w:val="001D2D57"/>
    <w:rPr>
      <w:rFonts w:ascii="Arial" w:hAnsi="Arial"/>
      <w:sz w:val="24"/>
      <w:szCs w:val="24"/>
    </w:rPr>
  </w:style>
  <w:style w:type="character" w:customStyle="1" w:styleId="RuthsparagraphChar1">
    <w:name w:val="Ruth's paragraph Char1"/>
    <w:basedOn w:val="DefaultParagraphFont"/>
    <w:link w:val="Ruthsparagraph"/>
    <w:uiPriority w:val="99"/>
    <w:locked/>
    <w:rsid w:val="008A65E8"/>
    <w:rPr>
      <w:rFonts w:ascii="Arial" w:hAnsi="Arial"/>
      <w:sz w:val="24"/>
      <w:szCs w:val="24"/>
    </w:rPr>
  </w:style>
  <w:style w:type="paragraph" w:customStyle="1" w:styleId="Ruthsbulletpoint">
    <w:name w:val="Ruth's bullet point"/>
    <w:basedOn w:val="Ruthsparagraph"/>
    <w:link w:val="RuthsbulletpointChar"/>
    <w:uiPriority w:val="99"/>
    <w:rsid w:val="008A65E8"/>
    <w:pPr>
      <w:numPr>
        <w:numId w:val="3"/>
      </w:numPr>
    </w:pPr>
  </w:style>
  <w:style w:type="character" w:customStyle="1" w:styleId="RuthsbulletpointChar">
    <w:name w:val="Ruth's bullet point Char"/>
    <w:basedOn w:val="RuthsparagraphChar1"/>
    <w:link w:val="Ruthsbulletpoint"/>
    <w:uiPriority w:val="99"/>
    <w:locked/>
    <w:rsid w:val="008A65E8"/>
    <w:rPr>
      <w:rFonts w:ascii="Arial" w:hAnsi="Arial"/>
      <w:sz w:val="24"/>
      <w:szCs w:val="24"/>
    </w:rPr>
  </w:style>
  <w:style w:type="paragraph" w:customStyle="1" w:styleId="Ruthsnumberedheading">
    <w:name w:val="Ruth's numbered heading"/>
    <w:basedOn w:val="Normal"/>
    <w:uiPriority w:val="99"/>
    <w:rsid w:val="008A65E8"/>
    <w:pPr>
      <w:numPr>
        <w:numId w:val="4"/>
      </w:numPr>
      <w:spacing w:before="120" w:after="120"/>
    </w:pPr>
    <w:rPr>
      <w:rFonts w:cs="Arial"/>
      <w:b/>
      <w:sz w:val="28"/>
      <w:szCs w:val="28"/>
    </w:rPr>
  </w:style>
  <w:style w:type="paragraph" w:customStyle="1" w:styleId="Ruth-numberedparargraph">
    <w:name w:val="Ruth - numbered parargraph"/>
    <w:basedOn w:val="ListParagraph"/>
    <w:link w:val="Ruth-numberedparargraphChar"/>
    <w:uiPriority w:val="99"/>
    <w:rsid w:val="001D2D57"/>
    <w:pPr>
      <w:numPr>
        <w:ilvl w:val="1"/>
        <w:numId w:val="6"/>
      </w:numPr>
    </w:pPr>
    <w:rPr>
      <w:rFonts w:ascii="Calibri" w:hAnsi="Calibri" w:cs="Arial"/>
    </w:rPr>
  </w:style>
  <w:style w:type="character" w:customStyle="1" w:styleId="Ruth-numberedparargraphChar">
    <w:name w:val="Ruth - numbered parargraph Char"/>
    <w:basedOn w:val="ListParagraphChar"/>
    <w:link w:val="Ruth-numberedparargraph"/>
    <w:uiPriority w:val="99"/>
    <w:locked/>
    <w:rsid w:val="001D2D57"/>
    <w:rPr>
      <w:rFonts w:ascii="Calibri" w:hAnsi="Calibri" w:cs="Arial"/>
      <w:sz w:val="24"/>
      <w:szCs w:val="24"/>
    </w:rPr>
  </w:style>
  <w:style w:type="paragraph" w:customStyle="1" w:styleId="Ruth-paragraphblank">
    <w:name w:val="Ruth - paragraph blank"/>
    <w:basedOn w:val="Normal"/>
    <w:link w:val="Ruth-paragraphblankChar"/>
    <w:uiPriority w:val="99"/>
    <w:rsid w:val="001D2D57"/>
    <w:pPr>
      <w:spacing w:before="120" w:after="120"/>
      <w:ind w:left="709"/>
    </w:pPr>
    <w:rPr>
      <w:rFonts w:ascii="Calibri" w:hAnsi="Calibri"/>
    </w:rPr>
  </w:style>
  <w:style w:type="character" w:customStyle="1" w:styleId="Ruth-paragraphblankChar">
    <w:name w:val="Ruth - paragraph blank Char"/>
    <w:basedOn w:val="DefaultParagraphFont"/>
    <w:link w:val="Ruth-paragraphblank"/>
    <w:uiPriority w:val="99"/>
    <w:locked/>
    <w:rsid w:val="001D2D57"/>
    <w:rPr>
      <w:rFonts w:ascii="Calibri" w:hAnsi="Calibri" w:cs="Times New Roman"/>
      <w:sz w:val="24"/>
      <w:szCs w:val="24"/>
    </w:rPr>
  </w:style>
  <w:style w:type="paragraph" w:customStyle="1" w:styleId="Ruth-documenttitle">
    <w:name w:val="Ruth - document title"/>
    <w:basedOn w:val="Normal"/>
    <w:link w:val="Ruth-documenttitleChar"/>
    <w:uiPriority w:val="99"/>
    <w:rsid w:val="001D2D57"/>
    <w:pPr>
      <w:spacing w:before="120" w:after="240"/>
    </w:pPr>
    <w:rPr>
      <w:rFonts w:ascii="Calibri" w:hAnsi="Calibri"/>
      <w:b/>
      <w:sz w:val="32"/>
      <w:szCs w:val="32"/>
    </w:rPr>
  </w:style>
  <w:style w:type="character" w:customStyle="1" w:styleId="Ruth-documenttitleChar">
    <w:name w:val="Ruth - document title Char"/>
    <w:basedOn w:val="DefaultParagraphFont"/>
    <w:link w:val="Ruth-documenttitle"/>
    <w:uiPriority w:val="99"/>
    <w:locked/>
    <w:rsid w:val="001D2D57"/>
    <w:rPr>
      <w:rFonts w:ascii="Calibri" w:hAnsi="Calibri" w:cs="Times New Roman"/>
      <w:b/>
      <w:sz w:val="32"/>
      <w:szCs w:val="32"/>
    </w:rPr>
  </w:style>
  <w:style w:type="paragraph" w:customStyle="1" w:styleId="Ruth-headingnumbered">
    <w:name w:val="Ruth - heading numbered"/>
    <w:basedOn w:val="ListParagraph"/>
    <w:link w:val="Ruth-headingnumberedChar"/>
    <w:uiPriority w:val="99"/>
    <w:rsid w:val="001D2D57"/>
    <w:pPr>
      <w:numPr>
        <w:numId w:val="6"/>
      </w:numPr>
      <w:spacing w:before="240" w:after="240"/>
      <w:contextualSpacing w:val="0"/>
    </w:pPr>
    <w:rPr>
      <w:rFonts w:ascii="Calibri" w:hAnsi="Calibri"/>
      <w:b/>
      <w:sz w:val="28"/>
      <w:szCs w:val="28"/>
    </w:rPr>
  </w:style>
  <w:style w:type="character" w:customStyle="1" w:styleId="Ruth-headingnumberedChar">
    <w:name w:val="Ruth - heading numbered Char"/>
    <w:basedOn w:val="ListParagraphChar"/>
    <w:link w:val="Ruth-headingnumbered"/>
    <w:uiPriority w:val="99"/>
    <w:locked/>
    <w:rsid w:val="001D2D57"/>
    <w:rPr>
      <w:rFonts w:ascii="Calibri" w:hAnsi="Calibri"/>
      <w:b/>
      <w:sz w:val="28"/>
      <w:szCs w:val="28"/>
    </w:rPr>
  </w:style>
  <w:style w:type="paragraph" w:customStyle="1" w:styleId="Ruth-bullet">
    <w:name w:val="Ruth - bullet"/>
    <w:basedOn w:val="ListParagraph"/>
    <w:link w:val="Ruth-bulletChar"/>
    <w:uiPriority w:val="99"/>
    <w:rsid w:val="001D2D57"/>
    <w:pPr>
      <w:numPr>
        <w:numId w:val="7"/>
      </w:numPr>
    </w:pPr>
    <w:rPr>
      <w:rFonts w:ascii="Calibri" w:hAnsi="Calibri"/>
    </w:rPr>
  </w:style>
  <w:style w:type="character" w:customStyle="1" w:styleId="Ruth-bulletChar">
    <w:name w:val="Ruth - bullet Char"/>
    <w:basedOn w:val="ListParagraphChar"/>
    <w:link w:val="Ruth-bullet"/>
    <w:uiPriority w:val="99"/>
    <w:locked/>
    <w:rsid w:val="001D2D57"/>
    <w:rPr>
      <w:rFonts w:ascii="Calibri" w:hAnsi="Calibri"/>
      <w:sz w:val="24"/>
      <w:szCs w:val="24"/>
    </w:rPr>
  </w:style>
  <w:style w:type="character" w:styleId="Strong">
    <w:name w:val="Strong"/>
    <w:basedOn w:val="DefaultParagraphFont"/>
    <w:uiPriority w:val="22"/>
    <w:qFormat/>
    <w:rsid w:val="003B02A0"/>
    <w:rPr>
      <w:rFonts w:cs="Times New Roman"/>
      <w:b/>
      <w:bCs/>
    </w:rPr>
  </w:style>
  <w:style w:type="paragraph" w:customStyle="1" w:styleId="Normalnos">
    <w:name w:val="Normal + nos"/>
    <w:basedOn w:val="Default"/>
    <w:next w:val="Default"/>
    <w:uiPriority w:val="99"/>
    <w:rsid w:val="00953F44"/>
    <w:pPr>
      <w:spacing w:before="0" w:after="0"/>
    </w:pPr>
    <w:rPr>
      <w:rFonts w:ascii="Tahoma" w:hAnsi="Tahoma" w:cs="Tahoma"/>
      <w:color w:val="auto"/>
    </w:rPr>
  </w:style>
  <w:style w:type="paragraph" w:customStyle="1" w:styleId="italicparaheading0">
    <w:name w:val="italicparaheading"/>
    <w:basedOn w:val="Normal"/>
    <w:uiPriority w:val="99"/>
    <w:rsid w:val="0083640A"/>
    <w:pPr>
      <w:spacing w:before="100" w:beforeAutospacing="1" w:after="100" w:afterAutospacing="1"/>
    </w:pPr>
  </w:style>
  <w:style w:type="character" w:styleId="Emphasis">
    <w:name w:val="Emphasis"/>
    <w:basedOn w:val="DefaultParagraphFont"/>
    <w:uiPriority w:val="99"/>
    <w:qFormat/>
    <w:rsid w:val="0083640A"/>
    <w:rPr>
      <w:rFonts w:cs="Times New Roman"/>
      <w:i/>
      <w:iCs/>
    </w:rPr>
  </w:style>
  <w:style w:type="paragraph" w:customStyle="1" w:styleId="Ruth-paragraphheading">
    <w:name w:val="Ruth - paragraph heading"/>
    <w:basedOn w:val="BodyText"/>
    <w:link w:val="Ruth-paragraphheadingChar"/>
    <w:uiPriority w:val="99"/>
    <w:rsid w:val="002840CA"/>
    <w:pPr>
      <w:spacing w:before="120" w:after="120"/>
      <w:ind w:left="709"/>
    </w:pPr>
    <w:rPr>
      <w:b/>
    </w:rPr>
  </w:style>
  <w:style w:type="character" w:customStyle="1" w:styleId="Ruth-paragraphheadingChar">
    <w:name w:val="Ruth - paragraph heading Char"/>
    <w:basedOn w:val="BodyTextChar"/>
    <w:link w:val="Ruth-paragraphheading"/>
    <w:uiPriority w:val="99"/>
    <w:locked/>
    <w:rsid w:val="002840CA"/>
    <w:rPr>
      <w:rFonts w:ascii="Arial" w:hAnsi="Arial" w:cs="Times New Roman"/>
      <w:b/>
      <w:sz w:val="24"/>
      <w:szCs w:val="24"/>
    </w:rPr>
  </w:style>
  <w:style w:type="paragraph" w:customStyle="1" w:styleId="Ruthsheader">
    <w:name w:val="Ruth's header"/>
    <w:basedOn w:val="Normal"/>
    <w:qFormat/>
    <w:rsid w:val="00230AF2"/>
    <w:pPr>
      <w:numPr>
        <w:numId w:val="17"/>
      </w:numPr>
      <w:spacing w:before="120" w:after="120"/>
      <w:ind w:left="851" w:hanging="851"/>
    </w:pPr>
    <w:rPr>
      <w:rFonts w:eastAsiaTheme="minorHAnsi" w:cs="Arial"/>
      <w:b/>
      <w:sz w:val="26"/>
      <w:szCs w:val="26"/>
      <w:lang w:eastAsia="en-US"/>
    </w:rPr>
  </w:style>
  <w:style w:type="paragraph" w:customStyle="1" w:styleId="Ruthsbullets">
    <w:name w:val="Ruth's bullets"/>
    <w:basedOn w:val="Normal"/>
    <w:link w:val="RuthsbulletsChar"/>
    <w:qFormat/>
    <w:rsid w:val="00230AF2"/>
    <w:pPr>
      <w:numPr>
        <w:numId w:val="16"/>
      </w:numPr>
      <w:spacing w:before="120" w:after="120"/>
      <w:ind w:left="1560" w:hanging="567"/>
    </w:pPr>
    <w:rPr>
      <w:rFonts w:eastAsiaTheme="minorHAnsi" w:cs="Arial"/>
      <w:lang w:eastAsia="en-US"/>
    </w:rPr>
  </w:style>
  <w:style w:type="character" w:customStyle="1" w:styleId="RuthsbulletsChar">
    <w:name w:val="Ruth's bullets Char"/>
    <w:basedOn w:val="DefaultParagraphFont"/>
    <w:link w:val="Ruthsbullets"/>
    <w:rsid w:val="00230AF2"/>
    <w:rPr>
      <w:rFonts w:ascii="Arial" w:eastAsiaTheme="minorHAnsi" w:hAnsi="Arial" w:cs="Arial"/>
      <w:sz w:val="24"/>
      <w:szCs w:val="24"/>
      <w:lang w:eastAsia="en-US"/>
    </w:rPr>
  </w:style>
  <w:style w:type="paragraph" w:customStyle="1" w:styleId="Ruthsnumberedparagraph">
    <w:name w:val="Ruth's numbered paragraph"/>
    <w:basedOn w:val="Ruthsheader"/>
    <w:link w:val="RuthsnumberedparagraphChar"/>
    <w:qFormat/>
    <w:rsid w:val="00230AF2"/>
    <w:pPr>
      <w:numPr>
        <w:ilvl w:val="1"/>
      </w:numPr>
    </w:pPr>
    <w:rPr>
      <w:b w:val="0"/>
      <w:sz w:val="24"/>
      <w:szCs w:val="24"/>
    </w:rPr>
  </w:style>
  <w:style w:type="character" w:customStyle="1" w:styleId="RuthsnumberedparagraphChar">
    <w:name w:val="Ruth's numbered paragraph Char"/>
    <w:basedOn w:val="DefaultParagraphFont"/>
    <w:link w:val="Ruthsnumberedparagraph"/>
    <w:rsid w:val="00230AF2"/>
    <w:rPr>
      <w:rFonts w:ascii="Arial" w:eastAsiaTheme="minorHAnsi" w:hAnsi="Arial" w:cs="Arial"/>
      <w:sz w:val="24"/>
      <w:szCs w:val="24"/>
      <w:lang w:eastAsia="en-US"/>
    </w:rPr>
  </w:style>
  <w:style w:type="table" w:customStyle="1" w:styleId="TableGrid1">
    <w:name w:val="Table Grid1"/>
    <w:basedOn w:val="TableNormal"/>
    <w:next w:val="TableGrid"/>
    <w:locked/>
    <w:rsid w:val="00B206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quotation">
    <w:name w:val="R quotation"/>
    <w:basedOn w:val="Normal"/>
    <w:link w:val="RquotationChar"/>
    <w:qFormat/>
    <w:rsid w:val="007E13D4"/>
    <w:pPr>
      <w:spacing w:before="120" w:after="120"/>
      <w:ind w:left="851"/>
    </w:pPr>
    <w:rPr>
      <w:rFonts w:eastAsiaTheme="minorEastAsia" w:cstheme="minorBidi"/>
      <w:szCs w:val="22"/>
      <w:lang w:eastAsia="en-US"/>
    </w:rPr>
  </w:style>
  <w:style w:type="character" w:customStyle="1" w:styleId="RquotationChar">
    <w:name w:val="R quotation Char"/>
    <w:basedOn w:val="DefaultParagraphFont"/>
    <w:link w:val="Rquotation"/>
    <w:rsid w:val="007E13D4"/>
    <w:rPr>
      <w:rFonts w:ascii="Arial" w:eastAsiaTheme="minorEastAsia" w:hAnsi="Arial" w:cstheme="minorBidi"/>
      <w:sz w:val="24"/>
      <w:lang w:eastAsia="en-US"/>
    </w:rPr>
  </w:style>
  <w:style w:type="paragraph" w:customStyle="1" w:styleId="Rheading">
    <w:name w:val="R heading"/>
    <w:basedOn w:val="Subtitle"/>
    <w:autoRedefine/>
    <w:qFormat/>
    <w:rsid w:val="009A48A9"/>
    <w:pPr>
      <w:numPr>
        <w:ilvl w:val="0"/>
        <w:numId w:val="21"/>
      </w:numPr>
      <w:spacing w:before="240" w:after="120"/>
    </w:pPr>
    <w:rPr>
      <w:rFonts w:ascii="Arial" w:hAnsi="Arial"/>
      <w:b/>
      <w:color w:val="auto"/>
      <w:spacing w:val="0"/>
      <w:sz w:val="28"/>
      <w:lang w:eastAsia="en-US"/>
    </w:rPr>
  </w:style>
  <w:style w:type="paragraph" w:customStyle="1" w:styleId="Rparagraph">
    <w:name w:val="R paragraph"/>
    <w:basedOn w:val="Rheading"/>
    <w:link w:val="RparagraphChar"/>
    <w:qFormat/>
    <w:rsid w:val="009A48A9"/>
    <w:pPr>
      <w:numPr>
        <w:ilvl w:val="1"/>
      </w:numPr>
      <w:spacing w:before="120"/>
      <w:ind w:left="567" w:hanging="567"/>
    </w:pPr>
    <w:rPr>
      <w:b w:val="0"/>
      <w:sz w:val="24"/>
    </w:rPr>
  </w:style>
  <w:style w:type="paragraph" w:customStyle="1" w:styleId="Rthirdlevelparagraph">
    <w:name w:val="R third level paragraph"/>
    <w:basedOn w:val="Rparagraph"/>
    <w:autoRedefine/>
    <w:qFormat/>
    <w:rsid w:val="009A48A9"/>
    <w:pPr>
      <w:numPr>
        <w:ilvl w:val="2"/>
      </w:numPr>
    </w:pPr>
  </w:style>
  <w:style w:type="character" w:customStyle="1" w:styleId="RparagraphChar">
    <w:name w:val="R paragraph Char"/>
    <w:basedOn w:val="DefaultParagraphFont"/>
    <w:link w:val="Rparagraph"/>
    <w:rsid w:val="009A48A9"/>
    <w:rPr>
      <w:rFonts w:ascii="Arial" w:eastAsiaTheme="minorEastAsia" w:hAnsi="Arial" w:cstheme="minorBidi"/>
      <w:sz w:val="24"/>
      <w:lang w:eastAsia="en-US"/>
    </w:rPr>
  </w:style>
  <w:style w:type="paragraph" w:styleId="Subtitle">
    <w:name w:val="Subtitle"/>
    <w:basedOn w:val="Normal"/>
    <w:next w:val="Normal"/>
    <w:link w:val="SubtitleChar"/>
    <w:qFormat/>
    <w:rsid w:val="009A48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A48A9"/>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s.ofsted.gov.uk/local-authorities/lanca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A680-26D8-419B-A296-319DDEEC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7</Pages>
  <Words>2668</Words>
  <Characters>13876</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Annual report</vt:lpstr>
    </vt:vector>
  </TitlesOfParts>
  <Company>Lancashire County Council</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Ruth Lowry</dc:creator>
  <cp:lastModifiedBy>Jones, Debra</cp:lastModifiedBy>
  <cp:revision>57</cp:revision>
  <cp:lastPrinted>2018-04-11T13:16:00Z</cp:lastPrinted>
  <dcterms:created xsi:type="dcterms:W3CDTF">2020-03-31T06:30:00Z</dcterms:created>
  <dcterms:modified xsi:type="dcterms:W3CDTF">2020-07-10T15:29:00Z</dcterms:modified>
</cp:coreProperties>
</file>